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200" w:after="283"/>
        <w:jc w:val="both"/>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2025</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200" w:after="283"/>
        <w:jc w:val="both"/>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______________________ to ______________________</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000-23186</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949" w:type="dxa"/>
        <w:jc w:val="left"/>
        <w:tblInd w:w="0" w:type="dxa"/>
        <w:tblLayout w:type="fixed"/>
        <w:tblCellMar>
          <w:top w:w="28" w:type="dxa"/>
          <w:left w:w="28" w:type="dxa"/>
          <w:bottom w:w="28" w:type="dxa"/>
          <w:right w:w="28" w:type="dxa"/>
        </w:tblCellMar>
      </w:tblPr>
      <w:tblGrid>
        <w:gridCol w:w="1192"/>
        <w:gridCol w:w="1046"/>
        <w:gridCol w:w="1062"/>
        <w:gridCol w:w="481"/>
        <w:gridCol w:w="481"/>
        <w:gridCol w:w="687"/>
      </w:tblGrid>
      <w:tr>
        <w:trPr/>
        <w:tc>
          <w:tcPr>
            <w:tcW w:w="119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62-1413174</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4505 Emperor Blvd., Suite 200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Durham, North Carolina</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27703</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+1-919-859-1302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BCRX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of July 31, 2025, the registrant had 209,920,430 shares of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389"/>
        <w:gridCol w:w="2977"/>
        <w:gridCol w:w="2989"/>
        <w:gridCol w:w="248"/>
        <w:gridCol w:w="248"/>
        <w:gridCol w:w="354"/>
      </w:tblGrid>
      <w:tr>
        <w:trPr/>
        <w:tc>
          <w:tcPr>
            <w:tcW w:w="3389"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0">
              <w:r>
                <w:rPr>
                  <w:rStyle w:val="InternetLink"/>
                  <w:rFonts w:ascii="Times New Roman;serif" w:hAnsi="Times New Roman;serif"/>
                  <w:b w:val="false"/>
                  <w:color w:val="0000FF"/>
                  <w:sz w:val="20"/>
                  <w:u w:val="single"/>
                </w:rPr>
                <w:t>Cautionary Note Regarding Forward-Looking Statements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0">
              <w:r>
                <w:rPr>
                  <w:rStyle w:val="InternetLink"/>
                  <w:rFonts w:ascii="Times New Roman;serif" w:hAnsi="Times New Roman;serif"/>
                  <w:b w:val="false"/>
                  <w:color w:val="0000FF"/>
                  <w:sz w:val="20"/>
                  <w:u w:val="single"/>
                </w:rPr>
                <w:t>i</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3">
              <w:r>
                <w:rPr>
                  <w:rStyle w:val="InternetLink"/>
                  <w:rFonts w:ascii="Times New Roman;serif" w:hAnsi="Times New Roman;serif"/>
                  <w:b w:val="false"/>
                  <w:color w:val="0000FF"/>
                  <w:sz w:val="20"/>
                  <w:u w:val="single"/>
                </w:rPr>
                <w:t>Risk Factor Summary</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3">
              <w:r>
                <w:rPr>
                  <w:rStyle w:val="InternetLink"/>
                  <w:rFonts w:ascii="Times New Roman;serif" w:hAnsi="Times New Roman;serif"/>
                  <w:b w:val="false"/>
                  <w:color w:val="0000FF"/>
                  <w:sz w:val="20"/>
                  <w:u w:val="single"/>
                </w:rPr>
                <w:t>ii</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6">
              <w:r>
                <w:rPr>
                  <w:rStyle w:val="InternetLink"/>
                  <w:rFonts w:ascii="Times New Roman;serif" w:hAnsi="Times New Roman;serif"/>
                  <w:b w:val="false"/>
                  <w:color w:val="0000FF"/>
                  <w:sz w:val="20"/>
                  <w:u w:val="single"/>
                </w:rPr>
                <w:t>Part I. Financial Information</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6">
              <w:r>
                <w:rPr>
                  <w:rStyle w:val="InternetLink"/>
                  <w:rFonts w:ascii="Times New Roman;serif" w:hAnsi="Times New Roman;serif"/>
                  <w:b w:val="false"/>
                  <w:color w:val="0000FF"/>
                  <w:sz w:val="20"/>
                  <w:u w:val="single"/>
                </w:rPr>
                <w:t>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9">
              <w:r>
                <w:rPr>
                  <w:rStyle w:val="InternetLink"/>
                  <w:rFonts w:ascii="Times New Roman;serif" w:hAnsi="Times New Roman;serif"/>
                  <w:b w:val="false"/>
                  <w:color w:val="0000FF"/>
                  <w:sz w:val="20"/>
                  <w:u w:val="single"/>
                </w:rPr>
                <w:t>Item 1. Financial Statements (Unaudited):</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9">
              <w:r>
                <w:rPr>
                  <w:rStyle w:val="InternetLink"/>
                  <w:rFonts w:ascii="Times New Roman;serif" w:hAnsi="Times New Roman;serif"/>
                  <w:b w:val="false"/>
                  <w:color w:val="0000FF"/>
                  <w:sz w:val="20"/>
                  <w:u w:val="single"/>
                </w:rPr>
                <w:t>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22">
              <w:r>
                <w:rPr>
                  <w:rStyle w:val="InternetLink"/>
                  <w:rFonts w:ascii="Times New Roman;serif" w:hAnsi="Times New Roman;serif"/>
                  <w:b w:val="false"/>
                  <w:color w:val="000080"/>
                  <w:sz w:val="20"/>
                  <w:u w:val="single"/>
                </w:rPr>
                <w:t xml:space="preserve">Condensed Consolidated Balance Sheets as of </w:t>
              </w:r>
            </w:hyperlink>
            <w:hyperlink w:anchor="i6db0a6f8a6014f9599ccb1cf89b18e13_22">
              <w:r>
                <w:rPr>
                  <w:rStyle w:val="InternetLink"/>
                  <w:rFonts w:ascii="Times New Roman;serif" w:hAnsi="Times New Roman;serif"/>
                  <w:b w:val="false"/>
                  <w:color w:val="000080"/>
                  <w:sz w:val="20"/>
                  <w:u w:val="single"/>
                </w:rPr>
                <w:t>June 30</w:t>
              </w:r>
            </w:hyperlink>
            <w:hyperlink w:anchor="i6db0a6f8a6014f9599ccb1cf89b18e13_22">
              <w:r>
                <w:rPr>
                  <w:rStyle w:val="InternetLink"/>
                  <w:rFonts w:ascii="Times New Roman;serif" w:hAnsi="Times New Roman;serif"/>
                  <w:b w:val="false"/>
                  <w:color w:val="000080"/>
                  <w:sz w:val="20"/>
                  <w:u w:val="single"/>
                </w:rPr>
                <w:t>, 2025 and December 31, 2024</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22">
              <w:r>
                <w:rPr>
                  <w:rStyle w:val="InternetLink"/>
                  <w:rFonts w:ascii="Times New Roman;serif" w:hAnsi="Times New Roman;serif"/>
                  <w:b w:val="false"/>
                  <w:color w:val="0000FF"/>
                  <w:sz w:val="20"/>
                  <w:u w:val="single"/>
                </w:rPr>
                <w:t>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25">
              <w:r>
                <w:rPr>
                  <w:rStyle w:val="InternetLink"/>
                  <w:rFonts w:ascii="Times New Roman;serif" w:hAnsi="Times New Roman;serif"/>
                  <w:b w:val="false"/>
                  <w:color w:val="000080"/>
                  <w:sz w:val="20"/>
                  <w:u w:val="single"/>
                </w:rPr>
                <w:t>Condensed Consolidated Statements of Comprehensive Income (Loss) for the Three</w:t>
              </w:r>
            </w:hyperlink>
            <w:hyperlink w:anchor="i6db0a6f8a6014f9599ccb1cf89b18e13_25">
              <w:r>
                <w:rPr>
                  <w:rStyle w:val="InternetLink"/>
                  <w:rFonts w:ascii="Times New Roman;serif" w:hAnsi="Times New Roman;serif"/>
                  <w:b w:val="false"/>
                  <w:color w:val="000080"/>
                  <w:sz w:val="20"/>
                  <w:u w:val="single"/>
                </w:rPr>
                <w:t xml:space="preserve"> and S</w:t>
              </w:r>
            </w:hyperlink>
            <w:hyperlink w:anchor="i6db0a6f8a6014f9599ccb1cf89b18e13_25">
              <w:r>
                <w:rPr>
                  <w:rStyle w:val="InternetLink"/>
                  <w:rFonts w:ascii="Times New Roman;serif" w:hAnsi="Times New Roman;serif"/>
                  <w:b w:val="false"/>
                  <w:color w:val="000080"/>
                  <w:sz w:val="20"/>
                  <w:u w:val="single"/>
                </w:rPr>
                <w:t>ix</w:t>
              </w:r>
            </w:hyperlink>
            <w:hyperlink w:anchor="i6db0a6f8a6014f9599ccb1cf89b18e13_25">
              <w:r>
                <w:rPr>
                  <w:rStyle w:val="InternetLink"/>
                  <w:rFonts w:ascii="Times New Roman;serif" w:hAnsi="Times New Roman;serif"/>
                  <w:b w:val="false"/>
                  <w:color w:val="000080"/>
                  <w:sz w:val="20"/>
                  <w:u w:val="single"/>
                </w:rPr>
                <w:t xml:space="preserve"> Months Ended </w:t>
              </w:r>
            </w:hyperlink>
            <w:hyperlink w:anchor="i6db0a6f8a6014f9599ccb1cf89b18e13_25">
              <w:r>
                <w:rPr>
                  <w:rStyle w:val="InternetLink"/>
                  <w:rFonts w:ascii="Times New Roman;serif" w:hAnsi="Times New Roman;serif"/>
                  <w:b w:val="false"/>
                  <w:color w:val="000080"/>
                  <w:sz w:val="20"/>
                  <w:u w:val="single"/>
                </w:rPr>
                <w:t>June 30</w:t>
              </w:r>
            </w:hyperlink>
            <w:hyperlink w:anchor="i6db0a6f8a6014f9599ccb1cf89b18e13_25">
              <w:r>
                <w:rPr>
                  <w:rStyle w:val="InternetLink"/>
                  <w:rFonts w:ascii="Times New Roman;serif" w:hAnsi="Times New Roman;serif"/>
                  <w:b w:val="false"/>
                  <w:color w:val="000080"/>
                  <w:sz w:val="20"/>
                  <w:u w:val="single"/>
                </w:rPr>
                <w:t>, 2025 and 2024</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25">
              <w:r>
                <w:rPr>
                  <w:rStyle w:val="InternetLink"/>
                  <w:rFonts w:ascii="Times New Roman;serif" w:hAnsi="Times New Roman;serif"/>
                  <w:b w:val="false"/>
                  <w:color w:val="0000FF"/>
                  <w:sz w:val="20"/>
                  <w:u w:val="single"/>
                </w:rPr>
                <w:t>2</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28">
              <w:r>
                <w:rPr>
                  <w:rStyle w:val="InternetLink"/>
                  <w:rFonts w:ascii="Times New Roman;serif" w:hAnsi="Times New Roman;serif"/>
                  <w:b w:val="false"/>
                  <w:color w:val="000080"/>
                  <w:sz w:val="20"/>
                  <w:u w:val="single"/>
                </w:rPr>
                <w:t xml:space="preserve">Condensed Consolidated Statements of Cash Flows for the </w:t>
              </w:r>
            </w:hyperlink>
            <w:hyperlink w:anchor="i6db0a6f8a6014f9599ccb1cf89b18e13_28">
              <w:r>
                <w:rPr>
                  <w:rStyle w:val="InternetLink"/>
                  <w:rFonts w:ascii="Times New Roman;serif" w:hAnsi="Times New Roman;serif"/>
                  <w:b w:val="false"/>
                  <w:color w:val="000080"/>
                  <w:sz w:val="20"/>
                  <w:u w:val="single"/>
                </w:rPr>
                <w:t>Six</w:t>
              </w:r>
            </w:hyperlink>
            <w:hyperlink w:anchor="i6db0a6f8a6014f9599ccb1cf89b18e13_28">
              <w:r>
                <w:rPr>
                  <w:rStyle w:val="InternetLink"/>
                  <w:rFonts w:ascii="Times New Roman;serif" w:hAnsi="Times New Roman;serif"/>
                  <w:b w:val="false"/>
                  <w:color w:val="000080"/>
                  <w:sz w:val="20"/>
                  <w:u w:val="single"/>
                </w:rPr>
                <w:t xml:space="preserve"> Months Ended </w:t>
              </w:r>
            </w:hyperlink>
            <w:hyperlink w:anchor="i6db0a6f8a6014f9599ccb1cf89b18e13_28">
              <w:r>
                <w:rPr>
                  <w:rStyle w:val="InternetLink"/>
                  <w:rFonts w:ascii="Times New Roman;serif" w:hAnsi="Times New Roman;serif"/>
                  <w:b w:val="false"/>
                  <w:color w:val="000080"/>
                  <w:sz w:val="20"/>
                  <w:u w:val="single"/>
                </w:rPr>
                <w:t>June 30</w:t>
              </w:r>
            </w:hyperlink>
            <w:hyperlink w:anchor="i6db0a6f8a6014f9599ccb1cf89b18e13_28">
              <w:r>
                <w:rPr>
                  <w:rStyle w:val="InternetLink"/>
                  <w:rFonts w:ascii="Times New Roman;serif" w:hAnsi="Times New Roman;serif"/>
                  <w:b w:val="false"/>
                  <w:color w:val="000080"/>
                  <w:sz w:val="20"/>
                  <w:u w:val="single"/>
                </w:rPr>
                <w:t>, 2025 and 2024</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28">
              <w:r>
                <w:rPr>
                  <w:rStyle w:val="InternetLink"/>
                  <w:rFonts w:ascii="Times New Roman;serif" w:hAnsi="Times New Roman;serif"/>
                  <w:b w:val="false"/>
                  <w:color w:val="0000FF"/>
                  <w:sz w:val="20"/>
                  <w:u w:val="single"/>
                </w:rPr>
                <w:t>3</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31">
              <w:r>
                <w:rPr>
                  <w:rStyle w:val="InternetLink"/>
                  <w:rFonts w:ascii="Times New Roman;serif" w:hAnsi="Times New Roman;serif"/>
                  <w:b w:val="false"/>
                  <w:color w:val="000080"/>
                  <w:sz w:val="20"/>
                  <w:u w:val="single"/>
                </w:rPr>
                <w:t xml:space="preserve">Condensed Consolidated Statements of Stockholders’ Deficit for the Three </w:t>
              </w:r>
            </w:hyperlink>
            <w:hyperlink w:anchor="i6db0a6f8a6014f9599ccb1cf89b18e13_31">
              <w:r>
                <w:rPr>
                  <w:rStyle w:val="InternetLink"/>
                  <w:rFonts w:ascii="Times New Roman;serif" w:hAnsi="Times New Roman;serif"/>
                  <w:b w:val="false"/>
                  <w:color w:val="000080"/>
                  <w:sz w:val="20"/>
                  <w:u w:val="single"/>
                </w:rPr>
                <w:t xml:space="preserve">and Six </w:t>
              </w:r>
            </w:hyperlink>
            <w:hyperlink w:anchor="i6db0a6f8a6014f9599ccb1cf89b18e13_31">
              <w:r>
                <w:rPr>
                  <w:rStyle w:val="InternetLink"/>
                  <w:rFonts w:ascii="Times New Roman;serif" w:hAnsi="Times New Roman;serif"/>
                  <w:b w:val="false"/>
                  <w:color w:val="000080"/>
                  <w:sz w:val="20"/>
                  <w:u w:val="single"/>
                </w:rPr>
                <w:t xml:space="preserve">Months Ended </w:t>
              </w:r>
            </w:hyperlink>
            <w:hyperlink w:anchor="i6db0a6f8a6014f9599ccb1cf89b18e13_31">
              <w:r>
                <w:rPr>
                  <w:rStyle w:val="InternetLink"/>
                  <w:rFonts w:ascii="Times New Roman;serif" w:hAnsi="Times New Roman;serif"/>
                  <w:b w:val="false"/>
                  <w:color w:val="000080"/>
                  <w:sz w:val="20"/>
                  <w:u w:val="single"/>
                </w:rPr>
                <w:t>June 30</w:t>
              </w:r>
            </w:hyperlink>
            <w:hyperlink w:anchor="i6db0a6f8a6014f9599ccb1cf89b18e13_31">
              <w:r>
                <w:rPr>
                  <w:rStyle w:val="InternetLink"/>
                  <w:rFonts w:ascii="Times New Roman;serif" w:hAnsi="Times New Roman;serif"/>
                  <w:b w:val="false"/>
                  <w:color w:val="000080"/>
                  <w:sz w:val="20"/>
                  <w:u w:val="single"/>
                </w:rPr>
                <w:t>, 2025 and 2024</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31">
              <w:r>
                <w:rPr>
                  <w:rStyle w:val="InternetLink"/>
                  <w:rFonts w:ascii="Times New Roman;serif" w:hAnsi="Times New Roman;serif"/>
                  <w:b w:val="false"/>
                  <w:color w:val="0000FF"/>
                  <w:sz w:val="20"/>
                  <w:u w:val="single"/>
                </w:rPr>
                <w:t>5</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34">
              <w:r>
                <w:rPr>
                  <w:rStyle w:val="InternetLink"/>
                  <w:rFonts w:ascii="Times New Roman;serif" w:hAnsi="Times New Roman;serif"/>
                  <w:b w:val="false"/>
                  <w:color w:val="0000FF"/>
                  <w:sz w:val="20"/>
                  <w:u w:val="single"/>
                </w:rPr>
                <w:t>Notes to Condensed Consolidated Financial Statements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34">
              <w:r>
                <w:rPr>
                  <w:rStyle w:val="InternetLink"/>
                  <w:rFonts w:ascii="Times New Roman;serif" w:hAnsi="Times New Roman;serif"/>
                  <w:b w:val="false"/>
                  <w:color w:val="0000FF"/>
                  <w:sz w:val="20"/>
                  <w:u w:val="single"/>
                </w:rPr>
                <w:t>7</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85">
              <w:r>
                <w:rPr>
                  <w:rStyle w:val="InternetLink"/>
                  <w:rFonts w:ascii="Times New Roman;serif" w:hAnsi="Times New Roman;serif"/>
                  <w:b w:val="false"/>
                  <w:color w:val="0000FF"/>
                  <w:sz w:val="20"/>
                  <w:u w:val="single"/>
                </w:rPr>
                <w:t>33</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09">
              <w:r>
                <w:rPr>
                  <w:rStyle w:val="InternetLink"/>
                  <w:rFonts w:ascii="Times New Roman;serif" w:hAnsi="Times New Roman;serif"/>
                  <w:b w:val="false"/>
                  <w:color w:val="0000FF"/>
                  <w:sz w:val="20"/>
                  <w:u w:val="single"/>
                </w:rPr>
                <w:t>Item 3. Quantitative and Qualitative Disclosures About Market Risk</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09">
              <w:r>
                <w:rPr>
                  <w:rStyle w:val="InternetLink"/>
                  <w:rFonts w:ascii="Times New Roman;serif" w:hAnsi="Times New Roman;serif"/>
                  <w:b w:val="false"/>
                  <w:color w:val="0000FF"/>
                  <w:sz w:val="20"/>
                  <w:u w:val="single"/>
                </w:rPr>
                <w:t>46</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12">
              <w:r>
                <w:rPr>
                  <w:rStyle w:val="InternetLink"/>
                  <w:rFonts w:ascii="Times New Roman;serif" w:hAnsi="Times New Roman;serif"/>
                  <w:b w:val="false"/>
                  <w:color w:val="0000FF"/>
                  <w:sz w:val="20"/>
                  <w:u w:val="single"/>
                </w:rPr>
                <w:t>Item 4. Controls and Procedures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12">
              <w:r>
                <w:rPr>
                  <w:rStyle w:val="InternetLink"/>
                  <w:rFonts w:ascii="Times New Roman;serif" w:hAnsi="Times New Roman;serif"/>
                  <w:b w:val="false"/>
                  <w:color w:val="0000FF"/>
                  <w:sz w:val="20"/>
                  <w:u w:val="single"/>
                </w:rPr>
                <w:t>47</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15">
              <w:r>
                <w:rPr>
                  <w:rStyle w:val="InternetLink"/>
                  <w:rFonts w:ascii="Times New Roman;serif" w:hAnsi="Times New Roman;serif"/>
                  <w:b w:val="false"/>
                  <w:color w:val="0000FF"/>
                  <w:sz w:val="20"/>
                  <w:u w:val="single"/>
                </w:rPr>
                <w:t>Part II. Other Information</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15">
              <w:r>
                <w:rPr>
                  <w:rStyle w:val="InternetLink"/>
                  <w:rFonts w:ascii="Times New Roman;serif" w:hAnsi="Times New Roman;serif"/>
                  <w:b w:val="false"/>
                  <w:color w:val="0000FF"/>
                  <w:sz w:val="20"/>
                  <w:u w:val="single"/>
                </w:rPr>
                <w:t>49</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18">
              <w:r>
                <w:rPr>
                  <w:rStyle w:val="InternetLink"/>
                  <w:rFonts w:ascii="Times New Roman;serif" w:hAnsi="Times New Roman;serif"/>
                  <w:b w:val="false"/>
                  <w:color w:val="0000FF"/>
                  <w:sz w:val="20"/>
                  <w:u w:val="single"/>
                </w:rPr>
                <w:t>Item 1. Legal Proceedings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18">
              <w:r>
                <w:rPr>
                  <w:rStyle w:val="InternetLink"/>
                  <w:rFonts w:ascii="Times New Roman;serif" w:hAnsi="Times New Roman;serif"/>
                  <w:b w:val="false"/>
                  <w:color w:val="0000FF"/>
                  <w:sz w:val="20"/>
                  <w:u w:val="single"/>
                </w:rPr>
                <w:t>49</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21">
              <w:r>
                <w:rPr>
                  <w:rStyle w:val="InternetLink"/>
                  <w:rFonts w:ascii="Times New Roman;serif" w:hAnsi="Times New Roman;serif"/>
                  <w:b w:val="false"/>
                  <w:color w:val="0000FF"/>
                  <w:sz w:val="20"/>
                  <w:u w:val="single"/>
                </w:rPr>
                <w:t>Item 1A. Risk Factors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21">
              <w:r>
                <w:rPr>
                  <w:rStyle w:val="InternetLink"/>
                  <w:rFonts w:ascii="Times New Roman;serif" w:hAnsi="Times New Roman;serif"/>
                  <w:b w:val="false"/>
                  <w:color w:val="0000FF"/>
                  <w:sz w:val="20"/>
                  <w:u w:val="single"/>
                </w:rPr>
                <w:t>49</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24">
              <w:r>
                <w:rPr>
                  <w:rStyle w:val="InternetLink"/>
                  <w:rFonts w:ascii="Times New Roman;serif" w:hAnsi="Times New Roman;serif"/>
                  <w:b w:val="false"/>
                  <w:color w:val="0000FF"/>
                  <w:sz w:val="20"/>
                  <w:u w:val="single"/>
                </w:rPr>
                <w:t>Item 5. Other Information</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24">
              <w:r>
                <w:rPr>
                  <w:rStyle w:val="InternetLink"/>
                  <w:rFonts w:ascii="Times New Roman;serif" w:hAnsi="Times New Roman;serif"/>
                  <w:b w:val="false"/>
                  <w:color w:val="0000FF"/>
                  <w:sz w:val="20"/>
                  <w:u w:val="single"/>
                </w:rPr>
                <w:t>80</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30">
              <w:r>
                <w:rPr>
                  <w:rStyle w:val="InternetLink"/>
                  <w:rFonts w:ascii="Times New Roman;serif" w:hAnsi="Times New Roman;serif"/>
                  <w:b w:val="false"/>
                  <w:color w:val="0000FF"/>
                  <w:sz w:val="20"/>
                  <w:u w:val="single"/>
                </w:rPr>
                <w:t>Item 6. Exhibits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30">
              <w:r>
                <w:rPr>
                  <w:rStyle w:val="InternetLink"/>
                  <w:rFonts w:ascii="Times New Roman;serif" w:hAnsi="Times New Roman;serif"/>
                  <w:b w:val="false"/>
                  <w:color w:val="0000FF"/>
                  <w:sz w:val="20"/>
                  <w:u w:val="single"/>
                </w:rPr>
                <w:t>81</w:t>
              </w:r>
            </w:hyperlink>
          </w:p>
        </w:tc>
      </w:tr>
      <w:tr>
        <w:trPr/>
        <w:tc>
          <w:tcPr>
            <w:tcW w:w="9355"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db0a6f8a6014f9599ccb1cf89b18e13_133">
              <w:r>
                <w:rPr>
                  <w:rStyle w:val="InternetLink"/>
                  <w:rFonts w:ascii="Times New Roman;serif" w:hAnsi="Times New Roman;serif"/>
                  <w:b w:val="false"/>
                  <w:color w:val="0000FF"/>
                  <w:sz w:val="20"/>
                  <w:u w:val="single"/>
                </w:rPr>
                <w:t>Signatures</w:t>
              </w:r>
            </w:hyperlink>
          </w:p>
        </w:tc>
        <w:tc>
          <w:tcPr>
            <w:tcW w:w="850"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db0a6f8a6014f9599ccb1cf89b18e13_133">
              <w:r>
                <w:rPr>
                  <w:rStyle w:val="InternetLink"/>
                  <w:rFonts w:ascii="Times New Roman;serif" w:hAnsi="Times New Roman;serif"/>
                  <w:b w:val="false"/>
                  <w:color w:val="0000FF"/>
                  <w:sz w:val="20"/>
                  <w:u w:val="single"/>
                </w:rPr>
                <w:t>83</w:t>
              </w:r>
            </w:hyperlink>
          </w:p>
        </w:tc>
      </w:tr>
      <w:tr>
        <w:trPr/>
        <w:tc>
          <w:tcPr>
            <w:tcW w:w="9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When used in this report, unless otherwise indicated,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our,</w:t>
      </w:r>
      <w:r>
        <w:rPr>
          <w:color w:val="000000"/>
        </w:rPr>
        <w:t>” “</w:t>
      </w:r>
      <w:r>
        <w:rPr>
          <w:rFonts w:ascii="Times New Roman;serif" w:hAnsi="Times New Roman;serif"/>
          <w:b w:val="false"/>
          <w:i/>
          <w:color w:val="000000"/>
          <w:sz w:val="20"/>
        </w:rPr>
        <w:t>us,</w:t>
      </w:r>
      <w:r>
        <w:rPr>
          <w:color w:val="000000"/>
        </w:rPr>
        <w:t xml:space="preserve">” </w:t>
      </w:r>
      <w:r>
        <w:rPr>
          <w:rFonts w:ascii="Times New Roman;serif" w:hAnsi="Times New Roman;serif"/>
          <w:b w:val="false"/>
          <w:i/>
          <w:color w:val="000000"/>
          <w:sz w:val="20"/>
        </w:rPr>
        <w:t xml:space="preserve">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 xml:space="preserve">and </w:t>
      </w:r>
      <w:r>
        <w:rPr>
          <w:color w:val="000000"/>
        </w:rPr>
        <w:t>“</w:t>
      </w:r>
      <w:r>
        <w:rPr>
          <w:rFonts w:ascii="Times New Roman;serif" w:hAnsi="Times New Roman;serif"/>
          <w:b w:val="false"/>
          <w:i/>
          <w:color w:val="000000"/>
          <w:sz w:val="20"/>
        </w:rPr>
        <w:t>BioCryst</w:t>
      </w:r>
      <w:r>
        <w:rPr>
          <w:color w:val="000000"/>
        </w:rPr>
        <w:t xml:space="preserve">” </w:t>
      </w:r>
      <w:r>
        <w:rPr>
          <w:rFonts w:ascii="Times New Roman;serif" w:hAnsi="Times New Roman;serif"/>
          <w:b w:val="false"/>
          <w:i/>
          <w:color w:val="000000"/>
          <w:sz w:val="20"/>
        </w:rPr>
        <w:t xml:space="preserve">refer to BioCryst Pharmaceuticals, Inc. and, where appropriate, its subsidiaries.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Cautionary Note Regarding Forward-Looking Statements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This Quarterly Report on Form 10-Q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Management’s Discussion and Analysis of Financial Condition and Results of Operations</w:t>
      </w:r>
      <w:r>
        <w:rPr>
          <w:color w:val="000000"/>
        </w:rPr>
        <w:t xml:space="preserve">” </w:t>
      </w:r>
      <w:r>
        <w:rPr>
          <w:rFonts w:ascii="Times New Roman;serif" w:hAnsi="Times New Roman;serif"/>
          <w:b w:val="false"/>
          <w:color w:val="000000"/>
          <w:sz w:val="20"/>
        </w:rPr>
        <w:t>sections of this report, as well as any amendments we make to those sections in filings with the U.S. Securities and Exchange Commission (“SEC”). These forward-looking statements include, but are not limited to, statements about: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preclinical development, clinical development, commercialization, or post-marketing studies of our products and product candidates, including ORLADEYO® (berotralstat), BCX17725, avoralstat, and early-stage discovery programs (including our complement inhibitors), and our plans and anticipated timing regarding the same;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discovery and commercialization of best-in-class and first-in-class medicines;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and success of our commercialization of ORLADEYO in the United States and elsewhere and expectations regarding the commercial market for ORLADEYO;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potential for government stockpiling orders of our products and product candidates, including the timing or likelihood of entering into any U.S. Government stockpile order and our ability to execute any such order;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additional regulatory approvals, or milestones, royalties or profit from sales of our products by us or our partners;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implementation of our business model, strategic plans for our business,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establish and maintain collaborations or out-license rights to our products and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plans, programs, progress and potential success of our collaborations, including with Torii Pharmaceutical Co., Ltd. (“Torii”) for ORLADEYO in Japan and Shionogi &amp; Co., Ltd. (“Shionogi”) and Green Cross Corporation (“Green Cross”) for peramivir in their territories;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and our subsidiary guarantors’ ability to satisfy obligations under the Pharmakon Loan Agreement (as defined below) and to comply with the covenants as set forth in the agreements governing our debt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scope of protection we are able to establish and maintain for intellectual property rights covering our products, product candidates, and technology;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operate our business without infringing the intellectual property rights of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estimates of our revenues, expenses, capital requirements, annual cash utilization, and our needs for additional capital or financing;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timing or likelihood of regulatory filings (including with respect to the ORLADEYO pediatric program) or regulatory agreements, deferrals, approvals, and other decisions;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ability to manage our liquidity needs to fund our operations or repay our recourse debt obligations;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statements and projections regarding financial goals, including timing for achieving profitability or positive cash flow;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competitive companies, technologies, and our industry;</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business uncertainties, contractual restrictions on our operations, and additional expenses during the pending transaction with Neopharmed Gentili S.p.A. (“Neopharmed”);</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adverse effects on our business and financial condition that may result if we fail to complete the pending transaction with Neopharmed; and</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plans for use of the proceeds received in connection with the closing of the transaction with Neopharmed.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some of which are summarized in the “</w:t>
      </w:r>
      <w:r>
        <w:rPr>
          <w:rFonts w:ascii="Times New Roman;serif" w:hAnsi="Times New Roman;serif"/>
          <w:b w:val="false"/>
          <w:i/>
          <w:color w:val="000000"/>
          <w:sz w:val="20"/>
        </w:rPr>
        <w:t>Risk Factor Summary</w:t>
      </w:r>
      <w:r>
        <w:rPr>
          <w:color w:val="000000"/>
        </w:rPr>
        <w:t xml:space="preserve">” </w:t>
      </w:r>
      <w:r>
        <w:rPr>
          <w:rFonts w:ascii="Times New Roman;serif" w:hAnsi="Times New Roman;serif"/>
          <w:b w:val="false"/>
          <w:color w:val="000000"/>
          <w:sz w:val="20"/>
        </w:rPr>
        <w:t>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revise or correct any of these statements or to publicly announce the results of any such revisions to any forward-looking statements to reflect future events or developments, except as may be required by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Risk Factor Summary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An investment in the Company involves risks. You should carefully read this entire report and consider the uncertainties and risks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may never achieve sustained profitability, and we may need to raise additional capital in the future. If we are unable to raise capital if and when needed, we may need to adjust our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risks relating to the pending transaction with Neopharmed, including that the pending transaction may be delayed or terminated, which could have a material adverse impact on our business, financial condition, results of operations and stock price, and the pending transaction may disrupt our ongoing business operations and restrict our business activities.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 expectations could have a material adverse impact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obtain additional financing or acceptable partnership arrangements if and when needed, we may be unable to complete the development and commercialization of our products and product candidates or continue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the U.S. Food and Drug Administration or comparable foreign regulatory authorities approve generic versions of any of our products that receive marketing approval, the sales of our products could be adversely affected.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by physicians, patients, third-party payors, health authorities, and others.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have expanded, and may continue expanding, our development and regulatory capabilities and are implementing sales, marketing, and distribution capabilities, and as a result, we may encounter difficulties managing our growth, which could disrupt our operations.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intense competition, and if we are unable to compete effectively, the demand for our products may be reduced. In addition, developments by others may render our products, product candidates, or technologies obsolete or noncompetitive.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or develop our product candidates.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adequately protect or enforce our intellectual property rights, the value of those rights would diminish. Legal proceedings to protect or enforce our patents, the patents of our partners, or our other intellectual property rights could be expensive, time-consuming, and unsuccessful. If we fail to secure the rights to patents of others, this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Pharmakon Loan Agreement (as defined below) contains conditions and restrictions that limit our flexibility in operating our business. We may be required to make a prepayment or repay our outstanding indebtedness under the Pharmakon Loan Agreement earlier than we expect if a prepayment event or an event of default occurs, including, but not limited to, a material adverse change with respect to us, which could have a material adverse effect on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our facilities, or the facilities of our third-party vendors, incur damage or power is lost for a significant length of time, our operations will be disrupted, which will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Cyber incidents and related disruptions in our or our third-party vendors’ information technology systems, as well as challenges with properly managing artificial intelligence, could adversely affect our business.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If we fail to retain our existing key personnel, or fail to attract and retain additional key personnel, the development of our product candidates, the commercialization of our products, and the related expansion of our business may be delayed or stopped.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Future acquisitions, strategic investments, partnerships, alliances, or divestitures could fail to meet our expectations and/or adversely affect our operating results and financial condition.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principal stockholders hold a substantial amount of our common stock and may be able to influence significant corporate decisions, which may conflict with the interests of other stockholders.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are subject to legal proceedings, which could harm our reputation or result in other losses or unexpected expenditure of time and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 amounts, Unaudited)</w:t>
      </w:r>
    </w:p>
    <w:tbl>
      <w:tblPr>
        <w:tblW w:w="10205" w:type="dxa"/>
        <w:jc w:val="left"/>
        <w:tblInd w:w="0" w:type="dxa"/>
        <w:tblLayout w:type="fixed"/>
        <w:tblCellMar>
          <w:top w:w="28" w:type="dxa"/>
          <w:left w:w="28" w:type="dxa"/>
          <w:bottom w:w="28" w:type="dxa"/>
          <w:right w:w="28" w:type="dxa"/>
        </w:tblCellMar>
      </w:tblPr>
      <w:tblGrid>
        <w:gridCol w:w="2761"/>
        <w:gridCol w:w="2321"/>
        <w:gridCol w:w="2322"/>
        <w:gridCol w:w="206"/>
        <w:gridCol w:w="774"/>
        <w:gridCol w:w="114"/>
        <w:gridCol w:w="109"/>
        <w:gridCol w:w="109"/>
        <w:gridCol w:w="109"/>
        <w:gridCol w:w="248"/>
        <w:gridCol w:w="933"/>
        <w:gridCol w:w="199"/>
      </w:tblGrid>
      <w:tr>
        <w:trPr/>
        <w:tc>
          <w:tcPr>
            <w:tcW w:w="276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7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104,713 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216,137 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79,069 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8,087 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13,752 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 held for sale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421,968 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inventory, net</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22,205 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23,187 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investments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20,323 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12,008 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5,157 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assets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457,188 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490,420 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113,292 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32,676 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160,384 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7,924 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Royalty financing obligations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447,842 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481,053 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Secured term loan</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242,794 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314,869 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liabilities held for sale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878,782 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966,354 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shares authorized - 5,000; no shares issued and outstanding at June 30, 2025 and December 31, 2024</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shares authorized - 450,000; shares issued and outstanding – 209,905 at June 30, 2025 and 208,543 at December 31, 2024</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1,291,100 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(1,764,923)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(1,770,040)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(421,594)</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(475,934)</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deficit</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457,188 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490,420 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 Unaudited)</w:t>
      </w:r>
    </w:p>
    <w:tbl>
      <w:tblPr>
        <w:tblW w:w="10205" w:type="dxa"/>
        <w:jc w:val="left"/>
        <w:tblInd w:w="0" w:type="dxa"/>
        <w:tblLayout w:type="fixed"/>
        <w:tblCellMar>
          <w:top w:w="28" w:type="dxa"/>
          <w:left w:w="28" w:type="dxa"/>
          <w:bottom w:w="28" w:type="dxa"/>
          <w:right w:w="28" w:type="dxa"/>
        </w:tblCellMar>
      </w:tblPr>
      <w:tblGrid>
        <w:gridCol w:w="1720"/>
        <w:gridCol w:w="1431"/>
        <w:gridCol w:w="1439"/>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72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207,820 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available for sale investments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209,519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206,425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209,203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206,244</w:t>
            </w:r>
            <w:r>
              <w:rPr>
                <w:color w:val="000000"/>
              </w:rPr>
              <w:t>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(0.23)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1038"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219,886</w:t>
            </w: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206,425</w:t>
            </w: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217,574</w:t>
            </w: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206,244</w:t>
            </w:r>
            <w:r>
              <w:rPr>
                <w:color w:val="000000"/>
              </w:rPr>
              <w:t> </w:t>
            </w:r>
          </w:p>
        </w:tc>
        <w:tc>
          <w:tcPr>
            <w:tcW w:w="15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2858"/>
        <w:gridCol w:w="2496"/>
        <w:gridCol w:w="2504"/>
        <w:gridCol w:w="196"/>
        <w:gridCol w:w="646"/>
        <w:gridCol w:w="109"/>
        <w:gridCol w:w="109"/>
        <w:gridCol w:w="109"/>
        <w:gridCol w:w="109"/>
        <w:gridCol w:w="196"/>
        <w:gridCol w:w="717"/>
        <w:gridCol w:w="156"/>
      </w:tblGrid>
      <w:tr>
        <w:trPr/>
        <w:tc>
          <w:tcPr>
            <w:tcW w:w="2858"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obsolescence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Pharmakon PIK Interest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royalty financing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 on secured term loan and amortization of debt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investments,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receivables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inventory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prepaid expenses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royalty financing obligations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accounts payable and 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maturities of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investing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common stock issued under stock-based compensation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to directors in lieu of cash retainer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Pharmakon term loan principal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and fees on Pharmakon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royalty financing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Withholding taxes paid on stock-based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finance 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cash equivalents and 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Decrease in cash, cash equivalents and restricted cash, including cash classified within current assets held for sale </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increase in cash and cash equivalents classified within current assets held for sale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decrease in cash, and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in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tbl>
      <w:tblPr>
        <w:tblW w:w="7119" w:type="dxa"/>
        <w:jc w:val="center"/>
        <w:tblInd w:w="0" w:type="dxa"/>
        <w:tblLayout w:type="fixed"/>
        <w:tblCellMar>
          <w:top w:w="28" w:type="dxa"/>
          <w:left w:w="28" w:type="dxa"/>
          <w:bottom w:w="28" w:type="dxa"/>
          <w:right w:w="28" w:type="dxa"/>
        </w:tblCellMar>
      </w:tblPr>
      <w:tblGrid>
        <w:gridCol w:w="1755"/>
        <w:gridCol w:w="1543"/>
        <w:gridCol w:w="1547"/>
        <w:gridCol w:w="196"/>
        <w:gridCol w:w="646"/>
        <w:gridCol w:w="109"/>
        <w:gridCol w:w="109"/>
        <w:gridCol w:w="109"/>
        <w:gridCol w:w="109"/>
        <w:gridCol w:w="196"/>
        <w:gridCol w:w="646"/>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 disclosure:</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taxes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withheld on stock-based awards included in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358" w:type="dxa"/>
        <w:jc w:val="left"/>
        <w:tblInd w:w="0" w:type="dxa"/>
        <w:tblLayout w:type="fixed"/>
        <w:tblCellMar>
          <w:top w:w="28" w:type="dxa"/>
          <w:left w:w="28" w:type="dxa"/>
          <w:bottom w:w="28" w:type="dxa"/>
          <w:right w:w="28" w:type="dxa"/>
        </w:tblCellMar>
      </w:tblPr>
      <w:tblGrid>
        <w:gridCol w:w="728"/>
        <w:gridCol w:w="311"/>
        <w:gridCol w:w="312"/>
        <w:gridCol w:w="420"/>
        <w:gridCol w:w="421"/>
        <w:gridCol w:w="226"/>
        <w:gridCol w:w="109"/>
        <w:gridCol w:w="109"/>
        <w:gridCol w:w="109"/>
        <w:gridCol w:w="211"/>
        <w:gridCol w:w="631"/>
        <w:gridCol w:w="109"/>
        <w:gridCol w:w="109"/>
        <w:gridCol w:w="109"/>
        <w:gridCol w:w="109"/>
        <w:gridCol w:w="211"/>
        <w:gridCol w:w="991"/>
        <w:gridCol w:w="109"/>
        <w:gridCol w:w="109"/>
        <w:gridCol w:w="109"/>
        <w:gridCol w:w="109"/>
        <w:gridCol w:w="316"/>
        <w:gridCol w:w="946"/>
        <w:gridCol w:w="164"/>
        <w:gridCol w:w="109"/>
        <w:gridCol w:w="109"/>
        <w:gridCol w:w="109"/>
        <w:gridCol w:w="211"/>
        <w:gridCol w:w="991"/>
        <w:gridCol w:w="109"/>
        <w:gridCol w:w="109"/>
        <w:gridCol w:w="109"/>
        <w:gridCol w:w="109"/>
        <w:gridCol w:w="228"/>
        <w:gridCol w:w="910"/>
        <w:gridCol w:w="168"/>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208,543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1,291,100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921</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(1,770,040)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(475,934)</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for 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sales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209,208</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1,314,857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(1,770,008)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(451,927)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209,905</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1,339,584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1,646</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(1,764,923)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(421,594)</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BIOCRYST PHARMACEUTICALS, INC. </w:t>
      </w:r>
    </w:p>
    <w:p>
      <w:pPr>
        <w:pStyle w:val="TextBody"/>
        <w:bidi w:val="0"/>
        <w:spacing w:lineRule="auto" w:line="288" w:before="0" w:after="0"/>
        <w:jc w:val="center"/>
        <w:rPr/>
      </w:pPr>
      <w:r>
        <w:rPr>
          <w:rFonts w:ascii="Times New Roman;serif" w:hAnsi="Times New Roman;serif"/>
          <w:b/>
          <w:color w:val="000000"/>
          <w:sz w:val="20"/>
        </w:rPr>
        <w:t>CONDENSED CONSOLIDATED STATEMENTS OF STOCKHOLDERS</w:t>
      </w:r>
      <w:r>
        <w:rPr>
          <w:color w:val="000000"/>
        </w:rPr>
        <w:t xml:space="preserve">’ </w:t>
      </w:r>
      <w:r>
        <w:rPr>
          <w:rFonts w:ascii="Times New Roman;serif" w:hAnsi="Times New Roman;serif"/>
          <w:b/>
          <w:color w:val="000000"/>
          <w:sz w:val="20"/>
        </w:rPr>
        <w:t>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10358" w:type="dxa"/>
        <w:jc w:val="left"/>
        <w:tblInd w:w="0" w:type="dxa"/>
        <w:tblLayout w:type="fixed"/>
        <w:tblCellMar>
          <w:top w:w="28" w:type="dxa"/>
          <w:left w:w="28" w:type="dxa"/>
          <w:bottom w:w="28" w:type="dxa"/>
          <w:right w:w="28" w:type="dxa"/>
        </w:tblCellMar>
      </w:tblPr>
      <w:tblGrid>
        <w:gridCol w:w="728"/>
        <w:gridCol w:w="311"/>
        <w:gridCol w:w="312"/>
        <w:gridCol w:w="420"/>
        <w:gridCol w:w="421"/>
        <w:gridCol w:w="226"/>
        <w:gridCol w:w="109"/>
        <w:gridCol w:w="109"/>
        <w:gridCol w:w="109"/>
        <w:gridCol w:w="211"/>
        <w:gridCol w:w="631"/>
        <w:gridCol w:w="109"/>
        <w:gridCol w:w="109"/>
        <w:gridCol w:w="109"/>
        <w:gridCol w:w="109"/>
        <w:gridCol w:w="211"/>
        <w:gridCol w:w="991"/>
        <w:gridCol w:w="109"/>
        <w:gridCol w:w="109"/>
        <w:gridCol w:w="109"/>
        <w:gridCol w:w="109"/>
        <w:gridCol w:w="316"/>
        <w:gridCol w:w="946"/>
        <w:gridCol w:w="164"/>
        <w:gridCol w:w="109"/>
        <w:gridCol w:w="109"/>
        <w:gridCol w:w="109"/>
        <w:gridCol w:w="211"/>
        <w:gridCol w:w="991"/>
        <w:gridCol w:w="109"/>
        <w:gridCol w:w="109"/>
        <w:gridCol w:w="109"/>
        <w:gridCol w:w="109"/>
        <w:gridCol w:w="228"/>
        <w:gridCol w:w="910"/>
        <w:gridCol w:w="168"/>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Stockholders’</w:t>
              <w:br/>
              <w:t>Deficit</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205,771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1,222,236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(1,681,159)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(455,528)</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net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 for vesting of restricted stock units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sales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206,347</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1,237,537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(1,716,538)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(476,167)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84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6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net</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restricted stock units</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to directors in lieu of cash retainer</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13,173 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2024</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206,629</w:t>
            </w: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1,250,983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(1,729,212)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(475,606)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BIOCRYST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jc w:val="left"/>
        <w:rPr/>
      </w:pPr>
      <w:r>
        <w:rPr>
          <w:rFonts w:ascii="Times New Roman;serif" w:hAnsi="Times New Roman;serif"/>
          <w:b/>
          <w:color w:val="000000"/>
          <w:sz w:val="20"/>
        </w:rPr>
        <w:t xml:space="preserve">Note 1 </w:t>
      </w:r>
      <w:r>
        <w:rPr>
          <w:color w:val="000000"/>
        </w:rPr>
        <w:t xml:space="preserve">— </w:t>
      </w:r>
      <w:r>
        <w:rPr>
          <w:rFonts w:ascii="Times New Roman;serif" w:hAnsi="Times New Roman;serif"/>
          <w:b/>
          <w:color w:val="000000"/>
          <w:sz w:val="20"/>
        </w:rPr>
        <w:t>Significant Accounting Policies and Concentrations of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Company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BioCryst Pharmaceuticals, Inc. (the “Company”) is a global biotechnology company with a deep commitment to improving the lives of people living with hereditary angioedema (“HAE”) and other rare diseases. The Company leverages its expertise in structure-guided drug design with the goal of developing first-in-class or best-in-class oral small-molecule and injectable protein therapeutics to target difficult-to-treat rare diseases. The Company was founded in 1986 and incorporated in Delaware in 1991, and its headquarters is located in Durham, North Carolina. The Company integrates the disciplines of biology, crystallography, medicinal chemistry and computer modeling to discover and develop small molecule and protein therapeutics through the process known as structure-guided drug design.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marketed products include oral, once-daily ORLADEYO® for the prevention of HAE attacks and RAPIVAB® (peramivir injection) for the treatment of acute uncomplicated influenza in the United States. ORLADEYO has received regulatory approval in the United States and other global markets. The Company is commercializing ORLADEYO in each of these territories directly or through other parties. In addition to its approval in the United States, peramivir injection has received regulatory approvals in Canada (RAPIVAB), Australia (RAPIVAB), Japan (RAPIACTA), Taiwan (RAPIACTA) and Korea (PERAMIFLU).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the Company’s expectations for revenue and operating expenses, the Company believes its financial resources available at June 30, 2025 will be sufficient to fund its operations for at least the next 12 months. The Company may, in the future, issue securities, including common stock, preferred stock, depositary shares, purchase contracts, warrants, debt securities and units, through private placement transactions or registered public offerings.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condensed consolidated financial statements include the accounts of the Company and its subsidiaries. All intercompany transactions and balances among the consolidated entities have been eliminated from the condensed consolidated financial statements. The Company operates and manages its business as one reportable and operating segment (see “</w:t>
      </w:r>
      <w:r>
        <w:rPr>
          <w:rFonts w:ascii="Times New Roman;serif" w:hAnsi="Times New Roman;serif"/>
          <w:b w:val="false"/>
          <w:i/>
          <w:color w:val="000000"/>
          <w:sz w:val="20"/>
        </w:rPr>
        <w:t>Note 13—Segment Information</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condensed consolidated financial statements have been prepared in accordance with accounting principles generally accepted in the United States (“U.S. GAAP”) for interim financial reporting and the instructions to Form 10-Q and do not include all of the information and footnotes required by U.S. GAAP for complete financial statements. Such financial statements reflect all adjustments that are, in management’s opinion, necessary to present fairly, in all material respects, the Company’s condensed consolidated financial position, results of operations, and cash flows. There were no adjustments other than normal recurring adjustments. Certain prior year amounts have been reclassified to conform to the current year presentation.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should be read in conjunction with the financial statements for the fiscal year ended December 31, 2024 and the notes thereto included in the Company’s 2024 Annual Report on Form 10-K as filed with the SEC on February 25, 2025. Interim operating results are not necessarily indicative of operating results for the full fiscal year. The condensed consolidated balance sheet as of December 31, 2024 was derived from the audited consolidated financial statements included in the Company’s most recent Annual Report on Form 10-K.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liabilities, revenues and expenses, and related disclosure of contingent assets and liabilities. Significant estimates in the Company’s condensed consolidated financial statements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been made relative to the calculation of net product sales, royalty financing obligations, inventory reserves, certain accruals, primarily related to the Company’s research and development expenses, the valuation of stock options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Assets Held for Sale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classifies its long-lived assets to be sold as held for sale when the six criteria in ASC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are met. This generally occurs when an agreement to sell exists, or when management has committed to a plan to sell the assets within one year. Assets and liabilities to be disposed of together as a group in a single transaction (“disposal groups”) are classified as held for sale if their carrying amounts are principally expected to be recovered through a sale transaction rather than through continuing use.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long-lived assets included in a disposal group are reported at the lower of their carrying value or fair value less cost to sell, beginning in the period the held for sale criteria are met. Prior to disposal, losses are recognized for any initial or subsequent write-down to fair value less cost to sell. Any gains or losses not previously recognized that result from the sale of a disposal group shall be recognized at the date of sale. Upon designation as an asset held for sale, the Company stops recording depreciation and amortization expense on long-lived assets. The Company assesses the fair value of a long-lived asset less any costs to sell at each reporting period and until the asset is no longer classified as held for sale.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and six months ended June 30, 2025 and 2024 (in thousands):</w:t>
      </w:r>
    </w:p>
    <w:tbl>
      <w:tblPr>
        <w:tblW w:w="8489" w:type="dxa"/>
        <w:jc w:val="left"/>
        <w:tblInd w:w="0" w:type="dxa"/>
        <w:tblLayout w:type="fixed"/>
        <w:tblCellMar>
          <w:top w:w="28" w:type="dxa"/>
          <w:left w:w="28" w:type="dxa"/>
          <w:bottom w:w="28" w:type="dxa"/>
          <w:right w:w="28" w:type="dxa"/>
        </w:tblCellMar>
      </w:tblPr>
      <w:tblGrid>
        <w:gridCol w:w="1021"/>
        <w:gridCol w:w="897"/>
        <w:gridCol w:w="901"/>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Collaborative and other revenues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163,353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109,332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308,887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202,093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principal sources of product sales are sales of ORLADEYO, which the Company began shipping to patients in December 2020, and sales of peramivir (RAPIVAB/RAPIACTA/PERAMIFLU) to the Company’s licensing partners and to the U.S. Department of Health and Human Services (“HHS”). In the United States, the Company generally ships ORLADEYO directly to patients through a single specialty pharmacy, which is considered its customer. Outside the United States, the Company sells ORLADEYO to specialty distributors and to hospitals and pharmacies, which collectively are considered its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recognizes revenue for sales when the customer obtains control of the product, which generally occurs upon delivery.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revenue from sales of ORLADEYO is recorded at net selling price (transaction price), which includes reserves for variable consideration such as (i) estimated government rebates, such as Medicaid and Medicare Part 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reimbursements, and estimated managed care rebates, (ii) estimated chargebacks, (iii) estimated costs of co-payment assistance programs and (iv) product returns. These reserves, representing the Company’s best estimates of the amount of consideration to which it is entitled based on the terms of the applicable contracts and statutory requirements, are based on the amounts earned or to be claimed on the related sales and are classified as reductions of accounts receivable if no payments are required of the Company or a current liability if a payment is required of the Company. Actual amounts of consideration may differ from the Company’s estimates. If actual results vary from estimates, these estimates are adjusted, which would affect net product revenue and earnings in the period such variances become known.</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and (iii) product distribution information obtained from the Company’s specialty pharmacy regarding payor mix.</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Chargebacks are discounts that occur when certain contracted customers, pharmacy benefit managers, insurance companies, and government programs purchase directly from the Company’s specialty pharmacy. These customers purchase the Company’s product under contracts negotiated between them and the Company’s specialty pharmacy. The specialty pharmacy, in turn, charges back to the Company the difference between the price that the specialty pharmacy paid and the negotiated price paid by the contracted customers, which may be higher or lower than the specialty pharmacy’s purchase price with the Company. The Company estimates chargebacks and adjusts gross product revenues and establishes a current liability at the time revenues are recognized.</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Co-payment assistance and patient assistance programs</w:t>
      </w:r>
      <w:r>
        <w:rPr>
          <w:rFonts w:ascii="Times New Roman;serif" w:hAnsi="Times New Roman;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the Company estimates the co-payment assistance amounts, which are recorded in the same period in which the related revenue is recognized, resulting in a reduction of product revenue and establishment of a current liability.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The Company does not provide contractual return rights to its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collaboration and license agreements with a number of third parties. The Company’s primary sources of revenue from these collaborative and other research and development arrangements are license, service and royalty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generally considers cash equivalents to be all cash held in commercial checking accounts, money market accounts, or investments in debt instruments and certificates of deposit with maturities of three months or less at the time of purchase. The carrying value of cash and cash equivalents approximates fair value due to the short-term nature of these items.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restricted cash was $1,892 and $1,610 as of June 30, 2025 and December 31, 2024, respectively, and primarily consisted of $1,400 as of June 30, 2025 and December 31, 2024, for a letter of credit the Company is required to maintain associated with its Birmingham lease. The letter of credit associated with the Birmingham lease of $1,400 is reflected within other assets on the Condensed Consolidated Balance Sheets as of June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invests in high credit quality investments in accordance with its investment policy. The objectives of the Company’s investment policy are to eliminate or greatly minimize the probability of a loss of principal value, maintain sufficient liquidity to meet cash flow requirements, and earn a competitive level of return. The Company places its excess cash with high credit quality financial institutions to limit the amount of its credit exposure. In accordance with its policy, the Company is able to invest in marketable debt securities that may consist of U.S. Treasury obligations, U.S government agency securities, money market funds, certificates of deposits and corporate notes and bonds. The Company’s investment policy requires it to purchase high-quality marketable securities with a maximum individual maturity of two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The Company has not realized any significant losses from its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classifies all of its investments as available-for-sale. Available-for-sale investments are reported at fair value at each balance sheet date, and include any unrealized holding gains and losses in accumulated other comprehensive income, unless an unrealized loss is considered to be other than temporary, in which case the unrealized loss is charged to operations. The Company reviews its investments for other than temporary declines in fair value below cost basis at the end of each reporting period and whenever events or changes in circumstances indicate that the carrying amount of an asset may not be recoverable. Factors considered to determine whether an unrealized loss is temporary include whether a decline in fair value below the amortized cost basis is due to credit-related factors or non-credit-related factors, the financial condition and near-term prospects of the Company, and the Company’s intent and ability to hold the investment to allow for an anticipated recovery in fair value. A credit-related impairment is recognized as an allowance on the balance sheet with a corresponding adjustment to earnings. Any impairment that is not credit-related is recognized in other comprehensive income, net of applicable taxes unless deemed other than temporary. Realized gains and losses are reflected in interest and other income in the Condensed Consolidated Statements of Comprehensive Income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recorded at fair value on a recurring basis on the Condensed Consolidated Balance Sheets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Assets measured at fair value on a recurring basis include investments (See “</w:t>
      </w:r>
      <w:r>
        <w:rPr>
          <w:rFonts w:ascii="Times New Roman;serif" w:hAnsi="Times New Roman;serif"/>
          <w:b w:val="false"/>
          <w:i/>
          <w:color w:val="000000"/>
          <w:sz w:val="20"/>
        </w:rPr>
        <w:t>Note 4—Investments</w:t>
      </w:r>
      <w:r>
        <w:rPr>
          <w:color w:val="000000"/>
        </w:rPr>
        <w:t>”</w:t>
      </w:r>
      <w:r>
        <w:rPr>
          <w:rFonts w:ascii="Times New Roman;serif" w:hAnsi="Times New Roman;serif"/>
          <w:b w:val="false"/>
          <w:color w:val="000000"/>
          <w:sz w:val="20"/>
        </w:rPr>
        <w:t>). There were no liabilities measured at fair value on a recurring basis as of June 30, 2025 and December 31, 2024. The carrying amounts reflected in the Condensed Consolidated Balance Sheets for cash and cash equivalents, trade receivables, prepaid expenses and other current assets, accounts payable and accrued expenses approximate their fair values due to the short-term nature of these assets and liabilities.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Trade Receivables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Receivables from collaborations are recorded for amounts due to the Company related to royalty receivables from the Company’s partners, including Shionogi &amp; Co., Ltd., Green Cross, and Torii (See “</w:t>
      </w:r>
      <w:r>
        <w:rPr>
          <w:rFonts w:ascii="Times New Roman;serif" w:hAnsi="Times New Roman;serif"/>
          <w:b w:val="false"/>
          <w:i/>
          <w:color w:val="000000"/>
          <w:sz w:val="20"/>
        </w:rPr>
        <w:t>Note 12—Collaborative and Other Relationships</w:t>
      </w:r>
      <w:r>
        <w:rPr>
          <w:color w:val="000000"/>
        </w:rPr>
        <w:t>”</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primarily relates to ORLADEYO. The Company’s inventory also includes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values its inventory at the lower of cost or estimated net realizable value. The Company determines the cost of its inventory on a first-in, first-out (FIFO) basis. Raw materials and work-in-process include all inventory costs prior to packaging and labeling, including raw material, active product ingredient, and the drug product. Finished goods include packaged and labeled products. The Company classifies inventory as long-term when consumption or sale of the inventory is not expected to occur within 12 months from the balance sheet date.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inventory is subject to expiration dating. At each reporting date, the Company evaluates the carrying value of its inventory and provides valuation reserves for any estimated excess, obsolete, short-dated or unmarketable inventory. In addition, the Company may experience spoilage of its raw materials and supplies. The Company’s determination that a valuation reserve might be required, in addition to the quantification of such reserve, requires it to utilize significant judgment. Additionally, the Company’s inventory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product in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obtaining initial regulatory approval for an investigational product candidate, the Company expenses costs relating to production of pre-launch inventory as research and development expense in its Condensed Consolidated Statements of Comprehensive Income (Loss) in the period incurred. After regulatory approval has been received, the Company capitalizes inventory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Depreciation is computed using the straight-line method over the estimated useful lives of the assets. Computer equipment and office equipment are depreciated over a life of three years. Laboratory equipment, software, and furniture and fixtures are depreciated over a life of five years. Leasehold improvements are amortized over their estimated useful lives or the expected lease term, whichever is less. Construction in progress reflects amounts incurred for construction or improvements of property and equipment that have not been placed in service.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enters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service providers invoice the Company monthly in arrears for services performed. The Company makes estimates of accrued 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The Company accrues costs for clinical trial activities based upon estimates of the actual work completed in accordance with agreements established with third-party vendors. If the Company underestimates or overestimates the level of these costs, actual expenses could differ from such estimates. As of June 30, 2025 and December 31, 2024, the carrying value of accrued expenses approximates their fair value due to their short-term settlement.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Cost of 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includes the cost of producing inventory that is related to product revenue during the respective period, including freight. Cost of product sales may also include costs related to excess or obsolete inventory adjustment charges.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costs associated with research activities as well as those with the Company’s product development efforts, conducting preclinical trials, clinical trials and manufacturing activities. Research and development expenses are expensed as incurred. Most of the Company’s clinical and preclinical studies are performed by third-party CROs. Costs for studies performed by CROs are accrued based upon estimates of the actual work completed in accordance with the third-party agreements. Advance payments for goods or services that will be used or rendered for future research and development activities are deferred and capitalized. Such amounts are recognized as expense when the related goods are delivered or the related services are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groups its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the Company’s clinical and preclinical studies. Additionally, direct expenses consist of those costs necessary to discontinue and close out a development program, including termination fees and other commitments. These costs are accumulated and tracked by active program.</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Indirect costs of the Company’s clinical programs include lab supplies and services, facility expenses, depreciation of development equipment and an allocation of its general and administrative overhead costs that support the Company’s research and development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the Company has license agreements with third parties, such as Albert Einstein College of Medicine of Yeshiva University, Industrial Research, Ltd., and the University of Alabama at Birmingham (“UAB”), which require fees related to sublicense agreements. The Company accrues sublicense expenses as incurred.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are comprised of compensation and benefits and related costs associated with sales and marketing, finance, human resources, legal, information technology, quality, safety and regulatory activities related to marketed products, and other general and administrative personnel. Additionally, selling, general and administrative expenses are comprised of market research, marketing, advertising and legal expenses, including patent costs, licenses and other administrative costs.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patent related costs are expensed to selling, general and administrative expenses when incurred as recoverability of such expenditures is uncertain.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Company leases certain assets under operating and finance leases, which consist of real estate leases, laboratory equipment leases and office equipment leases as of June 30, 2025. The Company determines whether a contract is, or contains, a lease at inception. The Company accounts for lease obligations in accordance with ASU 2016-02: </w:t>
      </w:r>
      <w:r>
        <w:rPr>
          <w:rFonts w:ascii="Times New Roman;serif" w:hAnsi="Times New Roman;serif"/>
          <w:b w:val="false"/>
          <w:i/>
          <w:color w:val="000000"/>
          <w:sz w:val="20"/>
        </w:rPr>
        <w:t>Leases (Topic 842)</w:t>
      </w:r>
      <w:r>
        <w:rPr>
          <w:rFonts w:ascii="Times New Roman;serif" w:hAnsi="Times New Roman;serif"/>
          <w:b w:val="false"/>
          <w:color w:val="000000"/>
          <w:sz w:val="20"/>
        </w:rPr>
        <w:t xml:space="preserve">, which requires a lessee to recognize a right-of-use asset and a lease liability on its balance sheet for most leases. The Company elected the practical expedient that exempts leases with an initial lease term of twelve months or less, as well as the practical expedient that allows companies to select, by class of underlying asset, not to separate lease and non-lease components.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Certain of the Company’s operating leases provide for renewal options, which can vary by lease. The right-of-use asset and lease liabilities on the Company’s Condensed Consolidated Balance Sheets represent payments over the lease term, which include renewal options for certain real estate leases that the Company is likely to exercise. Certain operating leases include rent escalation provisions, which the Company recognizes as expense on a straight-line basis. Lease expense for leases with an initial term of twelve months or less was not material.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 rate used to determine the Company’s right-of-use asset and lease liability is the Company’s incremental borrowing rate on a collateralized basis over a similar term and amount in a similar economic environment, as generally an implicit rate in the lease is not readily determinable.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not made any residual value guarantees related to its leases; therefore, the Company has no corresponding liability recorded on its Condensed Consolidated Balance Sheets.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All share-based payments, including grants of stock option awards and restricted stock unit awards, are recognized in the Company’s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The Company utilizes the Black-Scholes option-pricing model to value its stock option awards and recognize compensation expense on a straight-line basis over the requisite service period. The Company reduces stock-based compensation expense for estimated forfeitures. The estimation of share-based payment awards that will ultimately vest requires judgment, and to the extent actual results or updated estimates differ from the Company’s current estimates,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amounts will be recorded as a cumulative adjustment in the period estimates are revised. Actual results, and future changes in estimates, may differ substantially from the Company’s current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 Deferred Financing Costs and Royalty Financing Obligations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Interest expense primarily relates to the royalty financing obligations (see “</w:t>
      </w:r>
      <w:r>
        <w:rPr>
          <w:rFonts w:ascii="Times New Roman;serif" w:hAnsi="Times New Roman;serif"/>
          <w:b w:val="false"/>
          <w:i/>
          <w:color w:val="000000"/>
          <w:sz w:val="20"/>
        </w:rPr>
        <w:t>Note 7—Royalty Financing Obligations</w:t>
      </w:r>
      <w:r>
        <w:rPr>
          <w:color w:val="000000"/>
        </w:rPr>
        <w:t>”</w:t>
      </w:r>
      <w:r>
        <w:rPr>
          <w:rFonts w:ascii="Times New Roman;serif" w:hAnsi="Times New Roman;serif"/>
          <w:b w:val="false"/>
          <w:color w:val="000000"/>
          <w:sz w:val="20"/>
        </w:rPr>
        <w:t>) and the term loan borrowings under the Pharmakon Loan Agreement (see “</w:t>
      </w:r>
      <w:r>
        <w:rPr>
          <w:rFonts w:ascii="Times New Roman;serif" w:hAnsi="Times New Roman;serif"/>
          <w:b w:val="false"/>
          <w:i/>
          <w:color w:val="000000"/>
          <w:sz w:val="20"/>
        </w:rPr>
        <w:t>Note 8—Deb</w:t>
      </w:r>
      <w:r>
        <w:rPr>
          <w:rFonts w:ascii="Times New Roman;serif" w:hAnsi="Times New Roman;serif"/>
          <w:b w:val="false"/>
          <w:color w:val="000000"/>
          <w:sz w:val="20"/>
        </w:rPr>
        <w:t xml:space="preserve">t”) during the six months ended June 30, 2025 and 2024.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Costs directly associated with the borrowings have been capitalized and are netted against the corresponding debt liabilities on the Condensed Consolidated Balance Sheets. These costs are being amortized to interest expense over the terms of the corresponding borrowings using the effective interest rate method. When utilizing the effective interest method, in periods in which payment-in-kind (“PIK”) interest was designated and added to the outstanding principal balance of the borrowing, the amortization of the deferred debt fees and issuance costs was accretive.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royalty financing obligations are eligible to be repaid based on royalties from net sales of ORLADEYO.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determining the Company’s provision for income taxes, deferred tax assets and liabilities and any valuation allowance recorded against net deferred tax assets. The Company has recorded a valuation allowance against substantially all potential tax assets, due to uncertainties in its ability to utilize deferred tax assets, primarily consisting of certain net operating losses carried forward, before they expire. The valuation allowance is based on estimates of future earnings in each of the jurisdictions in which the Company operates and the period over which its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accounts for uncertain tax positions in accordance with U.S. GAAP. Uncertain tax positions are recorded based upon certain recognition and measurement criteria. The Company re-evaluates uncertain tax positions and considers various factors, including, but not limited to, changes in tax law and the measurement of tax positions taken or expected to be taken in tax returns. The Company adjusts the amount of the liability to reflect any subsequent changes in the relevant facts and circumstances surrounding the uncertain tax positions. The Company recognizes interest and penalties related to income tax matters in income tax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Beginning in fiscal year 2021, the Company began accruing for U.S. state taxes and foreign income taxes as a result of increased nexus in both U.S. state and foreign jurisdictions where historically the Company had no presence and where no net operating losses had historically been established.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starting in 2022, amendments to Section 174 of the Internal Revenue Code of 1986, as amended (“IRC”), no longer permit an immediate deduction for research and development expenditures in the tax year that such costs are incurred. Instead, these IRC Section 174 development costs must now be capitalized and amortized over either a five-year period for activities performed within the U.S. or a 15-year period for activities performed outside the U.S. The new amortization period begins with the midpoint of any taxable year that IRC Section 174 costs are first incurred, regardless of whether the expenditures were made prior to or after July 1, and runs until the midpoint of year six for activities conducted in the U.S. or year sixteen in the case of development conducted on foreign soil.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Certain countries in which the Company has operations have adopted legislation influenced by the Organization for Economic Cooperation and Development (“OECD”) Pillar Two rules, including a minimum tax rate of 15%. It is uncertain whether the U.S. will enact legislation to adopt the Pillar Two framework. While the Company is currently not within the scope of the rules, it is continuing to review and evaluate additional guidance released by the OECD, along with the pending legislative adoption by additional individual countries where the Company operates.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in the U.S., which contains a broad range of tax reform provisions affecting businesses. The Company is evaluating the full effects of the legislation on the Company, including the Company’s estimated annual effective tax rate and cash tax position, but the Company expects that the legislation will not have a material impact on the Company’s financial statements. As the legislation was signed into law after the close of second quarter, the financial impacts are not included within the Condensed Consolidated Statement of Comprehensive Income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functional currency of each of the Company’s foreign subsidiaries is primarily the local currency of the country in which the subsidiary operates. The Company’s asset and liability accounts are translated at the current exchange rate as of the balance sheet date. Revenue and expense accounts are translated at the average exchange rate over the period. Adjustments resulting from the translation of the financial statements of the Company’s foreign subsidiaries into U.S. dollars are accumulated as a separate component of stockholders’ equity within accumulated other comprehensive income. Gains or losses resulting from transactions denominated in foreign currencies are included in foreign currency losses, net, within the Condensed Consolidated Statement of Comprehensive Income (Loss).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based upon the weighted average number of common shares outstanding during the period. Diluted net income (loss) per share is based upon the weighted average number of common shares outstanding and potentially dilutive common shares during the period as determined by using the treasury stock method.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income and recorded as interest and other income on the Condensed Consolidated Statements of Comprehensive Income (Loss). There were no realized gains or losses reclassified out of accumulated other comprehensive income for the three and six months ended June 30, 2025 and 2024.</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Significant Customers and Other Risks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primary sources of revenue and cash flow are the sales of ORLADEYO in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is generally distributed through an arrangement with a single specialty pharmacy in the United States. The specialty pharmacy subsequently sells ORLADEYO to its customers (pharmacy benefit managers, insurance companies, government programs and group purchasing organizations) and dispenses product to patients. RAPIVAB is also generally distributed through the same specialty pharmacy in the United States. The specialty pharmacy’s inability or unwillingness to continue these distribution activities could adversely impact the Company’s business, results of operations and financial condition. Revenue where the specialty pharmacy is considered the customer was approximately 86% and 85% of total net revenues for the three and six months ended June 30, 2025, respectively. Revenue where the specialty pharmacy is considered the customer was approximately 88% of total net revenues for both the three and six months ended June 30,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distributing ORLADEYO in other global markets directly or through other parties.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Risks from Third-Party Manufacturing and Distribution Concentration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relies on a single source manufacturer for active pharmaceutical ingredient and finished drug product manufacturing of product candidates in development and on a single specialty pharmacy for distribution of approved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product in the United States. Delays or disruption in the manufacture or distribution of any product could adversely impact the future procurement stockpiling of the Company’s commercial product, commercial revenue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equivalents and investments are financial instruments that potentially subject the Company to concentration of risk to the extent recorded on the Condensed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receivables from sales of ORLADEYO are primarily due from one customer, resulting in a concentration of credit risk.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new accounting pronouncements adopted by the Company during the six months ended June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New Accounting Pronouncements Not Yet Adopted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expects adoption of this ASU will result in additional disclosures but does not expect it will have a material effect on the Company’s consolidated balance sheet, statement of comprehensive income (loss), or statement of 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which requires public entities, on an annual and interim basis, to provide disaggregated disclosure of certain income statement expenses into specified categories within the footnotes to the financial statements. ASU 2024-03 is effective for fiscal years beginning after December 15, 2026, and interim periods within fiscal years beginning after December 15, 2027, with early adoption permitted. The Company is evaluating the impact of adopting ASU 2024-03.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does not expect any other recently issued accounting standards to have a material impact to its financial statements or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Note 2</w:t>
      </w:r>
      <w:r>
        <w:rPr>
          <w:color w:val="000000"/>
        </w:rPr>
        <w:t xml:space="preserve"> — </w:t>
      </w:r>
      <w:r>
        <w:rPr>
          <w:rFonts w:ascii="Times New Roman;serif" w:hAnsi="Times New Roman;serif"/>
          <w:b/>
          <w:color w:val="000000"/>
          <w:sz w:val="20"/>
        </w:rPr>
        <w:t>Assets and Liabilities Held for Sale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27, 2025, the Company entered into a definitive agreement (the “Stock Purchase Agreement”) with BioCryst Ireland Limited (“BioCryst Ireland”), a wholly owned subsidiary that operates the European ORLADEYO business, and Neopharmed Gentili S.p.A. (“Neopharmed”). Under the terms of the Stock Purchase Agreement, the Company has agreed to sell to Neopharmed all of its equity interests in BioCryst Ireland, which, together with its subsidiaries, holds certain assets, rights and employees related to our European ORLADEYO business. In connection with the sale, the Company will enter into several agreements with Neopharmed, including an Amended &amp; Restated Intellectual Property License Agreement, a Trademark License Agreement, a Global Brand and Support Agreement, a Supply Agreement, and a Transition Services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terms of the Stock Purchase Agreement, Neopharmed will pay $250,000 in upfront consideration for the European assets and rights related to ORLADEYO, with up to an additional $14,000 in contingent milestone payments based on future sales performance in Central and Eastern Europe. Neopharmed will also pay a $15,000 royalty release fee to RPI 2019 Intermediate Finance Trust. The transaction is expected to close in the fourth quarter of 2025, subject to customary closing conditions. The Company intends to use the transaction proceeds to retire all remaining term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concluded that the criteria under ASC 360-10-45-9 for classification as held for sale were met for BioCryst Ireland. Accordingly, the assets and liabilities of BioCryst Ireland are classified as a disposal group held for sale in the Company’s condensed consolidated balance sheet. The disposal group is not considered a discontinued operation under ASC 205-20, as it does not represent a strategic shift that will have a major effect on the Company’s operations or financial results. Therefore, the results of operations for BioCryst Ireland are included in income from continuing operations for all periods presented.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impairment loss was recognized in connection with the classification of the disposal group as held for sale, as the estimated fair value less costs to sell exceeded its carrying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assets and liabilities of BioCryst Ireland that are classified as held for sale on the unaudited condensed consolidated balance sheet as of June 30, 2025 (in thousands):</w:t>
      </w:r>
    </w:p>
    <w:tbl>
      <w:tblPr>
        <w:tblW w:w="4770" w:type="dxa"/>
        <w:jc w:val="left"/>
        <w:tblInd w:w="0" w:type="dxa"/>
        <w:tblLayout w:type="fixed"/>
        <w:tblCellMar>
          <w:top w:w="28" w:type="dxa"/>
          <w:left w:w="28" w:type="dxa"/>
          <w:bottom w:w="28" w:type="dxa"/>
          <w:right w:w="28" w:type="dxa"/>
        </w:tblCellMar>
      </w:tblPr>
      <w:tblGrid>
        <w:gridCol w:w="1243"/>
        <w:gridCol w:w="1097"/>
        <w:gridCol w:w="1110"/>
        <w:gridCol w:w="256"/>
        <w:gridCol w:w="877"/>
        <w:gridCol w:w="187"/>
      </w:tblGrid>
      <w:tr>
        <w:trPr/>
        <w:tc>
          <w:tcPr>
            <w:tcW w:w="124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net</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31,995 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24,162 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3</w:t>
      </w:r>
      <w:r>
        <w:rPr>
          <w:color w:val="000000"/>
        </w:rPr>
        <w:t xml:space="preserve"> — </w:t>
      </w:r>
      <w:r>
        <w:rPr>
          <w:rFonts w:ascii="Times New Roman;serif" w:hAnsi="Times New Roman;serif"/>
          <w:b/>
          <w:color w:val="000000"/>
          <w:sz w:val="20"/>
        </w:rPr>
        <w:t>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revenues for the three and six months ended June 30, 2025 and 2024 (in thousands):</w:t>
      </w:r>
    </w:p>
    <w:tbl>
      <w:tblPr>
        <w:tblW w:w="7263" w:type="dxa"/>
        <w:jc w:val="left"/>
        <w:tblInd w:w="0" w:type="dxa"/>
        <w:tblLayout w:type="fixed"/>
        <w:tblCellMar>
          <w:top w:w="28" w:type="dxa"/>
          <w:left w:w="28" w:type="dxa"/>
          <w:bottom w:w="28" w:type="dxa"/>
          <w:right w:w="28" w:type="dxa"/>
        </w:tblCellMar>
      </w:tblPr>
      <w:tblGrid>
        <w:gridCol w:w="597"/>
        <w:gridCol w:w="525"/>
        <w:gridCol w:w="527"/>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ORLADEYO:</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Outside of U.S.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ORLADEYO</w:t>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ORLADEYO revenues represent total revenues from product sales, collaborative revenues, and royalties. Other revenues primarily relate to the Company’s product sales and royalties for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individual country outside of the U.S. exceeded 10% of total revenues for the three and six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color w:val="000000"/>
          <w:sz w:val="20"/>
        </w:rPr>
        <w:t>Note 4</w:t>
      </w:r>
      <w:r>
        <w:rPr>
          <w:color w:val="000000"/>
        </w:rPr>
        <w:t xml:space="preserve"> — </w:t>
      </w:r>
      <w:r>
        <w:rPr>
          <w:rFonts w:ascii="Times New Roman;serif" w:hAnsi="Times New Roman;serif"/>
          <w:b/>
          <w:color w:val="000000"/>
          <w:sz w:val="20"/>
        </w:rPr>
        <w:t>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Fair value is an exit price, representing the amount that would be received from the sale of an asset or paid to transfer a liability in an orderly transaction between market participants. Fair value is determined based on observable and unobservable inputs. Observable inputs reflect readily obtainable data from independent sources, while unobservable inputs reflect certain market assumptions. As a basis for considering such assumptions, U.S. GAAP establishes a three-tier value hierarchy, which prioritizes the inputs used to develop the assumptions and for measuring fair value as follows: (Level 1) observable inputs such as quoted prices in active markets for identical assets; (Level 2) inputs other than the quoted prices in active markets that are observable either directly or indirectly; and (Level 3) unobservable inputs for which there is little or no 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that are measured at fair value on a recurring basis consist of fixed income investments.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were as follows (in thousands):</w:t>
      </w:r>
    </w:p>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9"/>
        <w:gridCol w:w="669"/>
        <w:gridCol w:w="676"/>
        <w:gridCol w:w="501"/>
        <w:gridCol w:w="966"/>
        <w:gridCol w:w="262"/>
        <w:gridCol w:w="109"/>
        <w:gridCol w:w="109"/>
        <w:gridCol w:w="109"/>
        <w:gridCol w:w="383"/>
        <w:gridCol w:w="1501"/>
        <w:gridCol w:w="198"/>
        <w:gridCol w:w="109"/>
        <w:gridCol w:w="109"/>
        <w:gridCol w:w="109"/>
        <w:gridCol w:w="614"/>
        <w:gridCol w:w="1181"/>
        <w:gridCol w:w="318"/>
        <w:gridCol w:w="109"/>
        <w:gridCol w:w="109"/>
        <w:gridCol w:w="109"/>
        <w:gridCol w:w="211"/>
        <w:gridCol w:w="826"/>
        <w:gridCol w:w="159"/>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Quoted Price in Active Markets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7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six securities with a total estimated fair value of $59,117 in an unrealized loss position. The Company believes the individual unrealized losses represent temporary declines primarily resulting from interest rate changes. The Company does not have an intent to sell these investments, and it is more likely than not that the investments will be held until recovery of their amortized cost basis. As such, no allowance was recognized.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fair value of the Company’s investments by type (in thousands): </w:t>
      </w:r>
    </w:p>
    <w:tbl>
      <w:tblPr>
        <w:tblW w:w="10205" w:type="dxa"/>
        <w:jc w:val="left"/>
        <w:tblInd w:w="0" w:type="dxa"/>
        <w:tblLayout w:type="fixed"/>
        <w:tblCellMar>
          <w:top w:w="28" w:type="dxa"/>
          <w:left w:w="28" w:type="dxa"/>
          <w:bottom w:w="28" w:type="dxa"/>
          <w:right w:w="28" w:type="dxa"/>
        </w:tblCellMar>
      </w:tblPr>
      <w:tblGrid>
        <w:gridCol w:w="1286"/>
        <w:gridCol w:w="1129"/>
        <w:gridCol w:w="1136"/>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14"/>
        <w:gridCol w:w="559"/>
        <w:gridCol w:w="163"/>
        <w:gridCol w:w="109"/>
        <w:gridCol w:w="109"/>
        <w:gridCol w:w="109"/>
        <w:gridCol w:w="211"/>
        <w:gridCol w:w="826"/>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286"/>
        <w:gridCol w:w="1129"/>
        <w:gridCol w:w="1136"/>
        <w:gridCol w:w="211"/>
        <w:gridCol w:w="826"/>
        <w:gridCol w:w="109"/>
        <w:gridCol w:w="109"/>
        <w:gridCol w:w="109"/>
        <w:gridCol w:w="109"/>
        <w:gridCol w:w="211"/>
        <w:gridCol w:w="616"/>
        <w:gridCol w:w="109"/>
        <w:gridCol w:w="109"/>
        <w:gridCol w:w="109"/>
        <w:gridCol w:w="109"/>
        <w:gridCol w:w="278"/>
        <w:gridCol w:w="614"/>
        <w:gridCol w:w="144"/>
        <w:gridCol w:w="109"/>
        <w:gridCol w:w="109"/>
        <w:gridCol w:w="109"/>
        <w:gridCol w:w="314"/>
        <w:gridCol w:w="559"/>
        <w:gridCol w:w="163"/>
        <w:gridCol w:w="109"/>
        <w:gridCol w:w="109"/>
        <w:gridCol w:w="109"/>
        <w:gridCol w:w="211"/>
        <w:gridCol w:w="826"/>
        <w:gridCol w:w="155"/>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Accrued</w:t>
              <w:b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br/>
              <w:t>Fair Value</w:t>
            </w:r>
          </w:p>
        </w:tc>
      </w:tr>
      <w:tr>
        <w:trPr/>
        <w:tc>
          <w:tcPr>
            <w:tcW w:w="3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U.S. Government and its agencies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maturity for the Company’s investments at June 30, 2025 and December 31, 2024 (in thousands):</w:t>
      </w:r>
    </w:p>
    <w:tbl>
      <w:tblPr>
        <w:tblW w:w="6895" w:type="dxa"/>
        <w:jc w:val="left"/>
        <w:tblInd w:w="0" w:type="dxa"/>
        <w:tblLayout w:type="fixed"/>
        <w:tblCellMar>
          <w:top w:w="28" w:type="dxa"/>
          <w:left w:w="28" w:type="dxa"/>
          <w:bottom w:w="28" w:type="dxa"/>
          <w:right w:w="28" w:type="dxa"/>
        </w:tblCellMar>
      </w:tblPr>
      <w:tblGrid>
        <w:gridCol w:w="1277"/>
        <w:gridCol w:w="1122"/>
        <w:gridCol w:w="1126"/>
        <w:gridCol w:w="234"/>
        <w:gridCol w:w="919"/>
        <w:gridCol w:w="121"/>
        <w:gridCol w:w="109"/>
        <w:gridCol w:w="109"/>
        <w:gridCol w:w="109"/>
        <w:gridCol w:w="313"/>
        <w:gridCol w:w="1228"/>
        <w:gridCol w:w="228"/>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in one year or less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after one year through two years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182,106 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236,460 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5</w:t>
      </w:r>
      <w:r>
        <w:rPr>
          <w:color w:val="000000"/>
        </w:rPr>
        <w:t xml:space="preserve"> — </w:t>
      </w:r>
      <w:r>
        <w:rPr>
          <w:rFonts w:ascii="Times New Roman;serif" w:hAnsi="Times New Roman;serif"/>
          <w:b/>
          <w:color w:val="000000"/>
          <w:sz w:val="20"/>
        </w:rPr>
        <w:t>Trade Receivables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Product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Receivables from product sales are recorded for amounts due to the Company related to sales of ORLADEYO and peramivir. At June 30, 2025 and December 31, 2024, receivables, net of reserves, related to sales of ORLADEYO were $87,575 and $76,282, respectively. At June 30, 2025 and December 31, 2024, receivables related to sales of peramivir were $381 and $564, respectively.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At June 30, 2025, there was $10,403 of accounts receivable, net of reserves, included in current assets held for sale. See “</w:t>
      </w:r>
      <w:r>
        <w:rPr>
          <w:rFonts w:ascii="Times New Roman;serif" w:hAnsi="Times New Roman;serif"/>
          <w:b w:val="false"/>
          <w:i/>
          <w:color w:val="000000"/>
          <w:sz w:val="20"/>
        </w:rPr>
        <w:t>Note 2—Assets and Liabilities Held for Sale</w:t>
      </w:r>
      <w:r>
        <w:rPr>
          <w:color w:val="000000"/>
        </w:rPr>
        <w:t xml:space="preserve">” </w:t>
      </w:r>
      <w:r>
        <w:rPr>
          <w:rFonts w:ascii="Times New Roman;serif" w:hAnsi="Times New Roman;serif"/>
          <w:b w:val="false"/>
          <w:color w:val="000000"/>
          <w:sz w:val="20"/>
        </w:rPr>
        <w:t xml:space="preserve">for further details.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Collaborations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June 30, 2025 and December 31, 2024 receivables from collaborations related to receivables from the Company’s royalty partners were $3,221 and $2,223,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6 </w:t>
      </w:r>
      <w:r>
        <w:rPr>
          <w:color w:val="000000"/>
        </w:rPr>
        <w:t xml:space="preserve">— </w:t>
      </w:r>
      <w:r>
        <w:rPr>
          <w:rFonts w:ascii="Times New Roman;serif" w:hAnsi="Times New Roman;serif"/>
          <w:b/>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June 30, 2025 and December 31, 2024, the Company’s inventory primarily related to ORLADEYO. Inventory also included peramivir, which is primarily manufactured for the Company’s partners.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inventories consisted of the following (in thousands): </w:t>
      </w:r>
    </w:p>
    <w:tbl>
      <w:tblPr>
        <w:tblW w:w="5111" w:type="dxa"/>
        <w:jc w:val="left"/>
        <w:tblInd w:w="0" w:type="dxa"/>
        <w:tblLayout w:type="fixed"/>
        <w:tblCellMar>
          <w:top w:w="28" w:type="dxa"/>
          <w:left w:w="28" w:type="dxa"/>
          <w:bottom w:w="28" w:type="dxa"/>
          <w:right w:w="28" w:type="dxa"/>
        </w:tblCellMar>
      </w:tblPr>
      <w:tblGrid>
        <w:gridCol w:w="630"/>
        <w:gridCol w:w="552"/>
        <w:gridCol w:w="558"/>
        <w:gridCol w:w="258"/>
        <w:gridCol w:w="883"/>
        <w:gridCol w:w="133"/>
        <w:gridCol w:w="109"/>
        <w:gridCol w:w="109"/>
        <w:gridCol w:w="109"/>
        <w:gridCol w:w="344"/>
        <w:gridCol w:w="1175"/>
        <w:gridCol w:w="251"/>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net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31,274 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As of June 30, 2025, there was $2,043 of inventory, net in current assets held for sale and $549 of inventory, net in non-current assets held for sale. See “</w:t>
      </w:r>
      <w:r>
        <w:rPr>
          <w:rFonts w:ascii="Times New Roman;serif" w:hAnsi="Times New Roman;serif"/>
          <w:b w:val="false"/>
          <w:i/>
          <w:color w:val="000000"/>
          <w:sz w:val="20"/>
        </w:rPr>
        <w:t>Note 2—Assets and Liabilities Held for Sale</w:t>
      </w:r>
      <w:r>
        <w:rPr>
          <w:color w:val="000000"/>
        </w:rPr>
        <w:t xml:space="preserve">” </w:t>
      </w:r>
      <w:r>
        <w:rPr>
          <w:rFonts w:ascii="Times New Roman;serif" w:hAnsi="Times New Roman;serif"/>
          <w:b w:val="false"/>
          <w:color w:val="000000"/>
          <w:sz w:val="20"/>
        </w:rPr>
        <w:t xml:space="preserve">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7 </w:t>
      </w:r>
      <w:r>
        <w:rPr>
          <w:color w:val="000000"/>
        </w:rPr>
        <w:t xml:space="preserve">— </w:t>
      </w:r>
      <w:r>
        <w:rPr>
          <w:rFonts w:ascii="Times New Roman;serif" w:hAnsi="Times New Roman;serif"/>
          <w:b/>
          <w:color w:val="000000"/>
          <w:sz w:val="20"/>
        </w:rPr>
        <w:t>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7, 2020, the Company and RPI 2019 Intermediate Finance Trust (“RPI”) entered into a Purchase and Sale Agreement (the “2020 RPI Royalty Purchase Agreement”), pursuant to which the Company sold to RPI the right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(i) 3.0% of proceeds received by the Company on annual net sales of up to $150,000 in the Other Markets and (ii) 2.0% of proceeds received by the Company on annual net sales between $150,000 and $230,000 in the Other Markets. No royalty payments are payable on annual net sales above $230,000 in the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royalties payable under the 2021 RPI Royalty Purchase Agreement are in addition to the royalties payable to RPI under the 2020 RPI Royalty Purchase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for the calendar quarter beginning October 1, 2023, OMERS was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Commencing with the calendar quarter beginning January 1, 2024, OMERS is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is required to make payments to OMERS in respect of net sales or sublicense revenue in each calendar quarter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and after October 1, 2023. OMERS will no longer be entitled to receive any payments on the date in which aggregate payments actually received by OMERS equals 155.0% of the $150,000 purchase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transactions contemplated by each of the Royalty Purchase Agreements are referred to herein as the “Royalty Sales”.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was permitted to be incurred under the terms of the Athyrium Credit Agreement (as defined in Note 8 herein) through its payoff and termination on April 17, 2023 or, subsequent to that date, the Pharmakon Loan Agreement (as defined in Note 8 herein), as applicable.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for further details on the Athyrium Credit Agreement and the Pharmakon Loan Agreement. The restrictions under the Royalty Purchase Agreements on the ability of the Company or any of its subsidiaries to incur indebtedness are eliminated after the achievement of certain specified milestones in the Royalty Purchase Agreements.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cash consideration obtained pursuant to the Royalty Purchase Agreements is recorded in “Royalty financing obligations” on the Company’s Condensed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their carrying value using the effective interest method. As of June 30, 2025 and December 31, 2024, the carrying value of the royalty financing obligations under the Royalty Purchase Agreements approximated fair value and was measured based on the Company’s current estimates of future payments to RPI and OMERS over the lives of the agreements, which are considered Level 3 inputs. The Company utilizes the prospective method to account for subsequent changes in the estimated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internal projections of future net product sales, which are based on key assumptions, including paid patients and price.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On a quarterly basis, the Company assesses the projected royalty payments relative to the projected interest accretion for the next twelve months to determine if the royalty liability balance is reduced relative to the current outstanding liability. In such case of excess payments relative to interest accretion for the next twelve months, the excess payments are considered to be a short-term liability and classified within current liabilities on the Company’s Condensed Consolidated Balance Sheets.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there were no significant changes to the amount and timing of expected royalties under the Royalty Purchase Agreements based on the Company’s latest forecasts related to ORLADEYO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royalty financing obligations activity for the three and six months ended June 30, 2025 (in thousands) as well as the effective interest rate as of June 30, 2025: </w:t>
      </w:r>
    </w:p>
    <w:tbl>
      <w:tblPr>
        <w:tblW w:w="10205" w:type="dxa"/>
        <w:jc w:val="left"/>
        <w:tblInd w:w="0" w:type="dxa"/>
        <w:tblLayout w:type="fixed"/>
        <w:tblCellMar>
          <w:top w:w="28" w:type="dxa"/>
          <w:left w:w="28" w:type="dxa"/>
          <w:bottom w:w="28" w:type="dxa"/>
          <w:right w:w="28" w:type="dxa"/>
        </w:tblCellMar>
      </w:tblPr>
      <w:tblGrid>
        <w:gridCol w:w="1496"/>
        <w:gridCol w:w="1304"/>
        <w:gridCol w:w="1308"/>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155"/>
      </w:tblGrid>
      <w:tr>
        <w:trPr/>
        <w:tc>
          <w:tcPr>
            <w:tcW w:w="149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2020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2021 RPI</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OMERS</w:t>
              <w:br/>
              <w:t>Royalty</w:t>
              <w:br/>
              <w:t>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500,918 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Royalty financing obligations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483,583 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interest 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paid for interest on the royalty financing obligations was $22,372 and $36,921 for the three and six months ended June 30, 2025, respectively. Cash paid for interest on the royalty financing obligations was $17,457 and $33,069 for the three and six months ended June 30, 2024,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8 </w:t>
      </w:r>
      <w:r>
        <w:rPr>
          <w:color w:val="000000"/>
        </w:rPr>
        <w:t xml:space="preserve">— </w:t>
      </w:r>
      <w:r>
        <w:rPr>
          <w:rFonts w:ascii="Times New Roman;serif" w:hAnsi="Times New Roman;serif"/>
          <w:b/>
          <w:color w:val="000000"/>
          <w:sz w:val="20"/>
        </w:rPr>
        <w:t>Debt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17, 2023, the Company entered into a $450,000 Loan Agreement (the “Pharmakon Loan Agreement”) with BioPharma Credit Investments V (Master) LP and BPCR Limited Partnership, as lenders, and BioPharma Credit PLC, as collateral agent for the lenders. Certain of the Company’s wholly-owned subsidiaries are guarantors to the Pharmakon Loan Agreement. The Pharmakon Loan Agreement provides for an initial term loan in the principal amount of $300,000 (the “Tranche A Loan”) funded on April 17, 2023 (the “Tranche A Closing Date”). The Company used a portion of the proceeds from the Tranche A Loan to repay the $241,787 of outstanding indebtedness (principal and interest due as of April 17, 2023) under the then-existing credit facility with Athyrium Opportunities III Co-Invest 1 LP (the “Athyrium Credit Agreement”) and to pay associated transaction costs and fees, and used the remaining net proceeds of $25,805 for other general corporate purposes.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also provided for three additional term loan tranches, at the Company’s option, in principal amounts of $50,000 each (each a “Subsequent Tranche Loan” and, collectively with the Tranche A Loan, the “Pharmakon Term Loans” and each, a “Pharmakon Term Loan”), which could have been requested on or prior to September 30, 2024. The Company chose not to request any Subsequent Tranche Loans and the options have since expired. The maturity date of the Pharmakon Loan Agreement is April 17, 2028 (the “Maturity Date”), the fifth anniversary of the Tranche A Closing Date.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provides for quarterly interest-only payments until the Maturity Date, with the unpaid principal amount of the outstanding Pharmakon Term Loans due and payable on the Maturity Date. During the first 18 months following the Tranche A Closing Date, the Company had the option to make a portion of the applicable interest payment on the Tranche A Loan in-kind (a “Pharmakon PIK Interest Payment”) by capitalizing as principal up to 50% of the amount of interest accrued on the Tranche A Loan during the applicable interest period. The Pharmakon Term Loans bear interest at a rate equal to the three-month Secured Overnight Financing Rate (“SOFR”), which shall be no less than 1.75%, plus 7.00%, per annum or, for each interest period in which a Pharmakon PIK Interest Payment was made, with respect to the Tranche A Loan, SOFR plus 7.25%,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Tranche A Loan accrued interest at an effective interest rate of 12.29% and 13.31% for the three months ended June 30, 2025 and 2024,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required to make a mandatory prepayment of the Pharmakon Term Loans (i) upon the occurrence of a change of control and (ii) prior to any repayment of any convertible debt that the Company may issue in the future, subject to certain exceptions. The Company may make voluntary prepayments in whole or in part, in minimum $25,000 increments. Prepayments are subject to a prepayment premium equal to, (i) with respect to any prepayment made prior to the second anniversary of the applicable Pharmakon Term Loan borrowing date, the sum of (1) 3.00% of the principal amount of the Pharmakon Term Loan being prepaid plus (2) the aggregate amount of all interest that would have accrued on the principal amount of the Pharmakon Term Loan being prepaid from the date of prepayment through and including the second anniversary of the date of the borrowing of such Pharmakon Term Loan; (ii) with respect to any prepayment made on or after the second anniversary and prior to the third anniversary of the applicable Pharmakon Term Loan borrowing date, 3.00% of the principal amount of the Pharmakon Term Loan being prepaid; (iii) with respect to any prepayment made on or after the third anniversary and prior to the fourth anniversary of the applicable Pharmakon Term Loan, 2.00% of the principal amount of the Pharmakon Term Loan being prepaid; and (iv) with respect to any prepayment made on or after the fourth anniversary of the applicable Pharmakon Term Loan borrowing date and before the Maturity Date, 1.00% of the principal amount of the Pharmakon Term Loan being prepaid. In addition, if the Company had requested any Subsequent Tranche Loans, certain funding fees would have been required to be paid.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among other customary covenants, in each case subject to certain exceptions.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failure to comply with the covenants in the Pharmakon Loan Agreement, or an occurrence of any other event of default, could permit the lenders under the Pharmakon Loan Agreement to declare the borrowings thereunder, together with accrued interest and fees, and any applicable prepayment premium, to be immediately due and payable.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obligations under the Pharmakon Loan Agreement are secured by a security interest in, subject to certain exceptions, substantially all of the Company’s assets.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18, 2025, as allowable under the Pharmakon Loan Agreement, the Company made a $75,000 partial prepayment on the outstanding principal amount under the Pharmakon Term Loan. In conjunction with the partial prepayment, the Company incurred a $2,250 prepayment premium and paid $424 of interest accrued through the payment date. Additionally, unamortized deferred financing costs of $1,921 associated with the Pharmakon Term Loan were written-off at the time of repayment. Collectively, the prepayment and unamortized deferred financing costs totaled $4,171 are reflected as a one-time loss on extinguishment of debt on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borrowings, including Pharmakon PIK Interest Payments, totaled $248,704 under the Pharmakon Loan Agreement. Interest expense on the Tranche A Loan for the three and six months ended June 30, 2025 was $7,526 and $16,679, respectively, all of which was paid at the end of the quarterly period.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2024, borrowings, including the Pharmakon PIK Interest Payments, totaled $323,704 under the Pharmakon Loan Agreement. Interest expense on the Tranche A Loan for the three and six months ended June 30, 2024 was $10,108 and $20,082, respectively. As allowable under the Pharmakon Loan Agreement, the Company designated and accounted for 50% of the quarterly interest payment for the six months ended June 30, 2024 as a Pharmakon PIK Interest Payment and the total amount of $10,041 was added to the outstanding principal balance of the borrowing. The remaining 50% of the total quarterly interest payment of $10,041 was paid at the end of the quarterly period.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debt approximates its carrying value based on prevailing interest rates as of the balance sheet date and is considered as Level 2 in the fair value hierarchy.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fees and issuance costs incurred with the Tranche A Loan under the Pharmakon Loan Agreement totaled $11,147 and have been deferred and are being amortized as interest expense on an effective interest rate method over the remaining term of the Tranche A Loan. Deferred financing amortization of $459 and $1,003 was recognized for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and six months ended June 30, 2025, respectively. Deferred financing amortization of $284 and $550 was recognized for the three and six months ended June 30, 2024, respectively.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On July 24, 2025, the Company made a partial prepayment on the Pharmakon Term Loan. See </w:t>
      </w:r>
      <w:r>
        <w:rPr>
          <w:color w:val="000000"/>
        </w:rPr>
        <w:t>“</w:t>
      </w:r>
      <w:r>
        <w:rPr>
          <w:rFonts w:ascii="Times New Roman;serif" w:hAnsi="Times New Roman;serif"/>
          <w:b w:val="false"/>
          <w:i/>
          <w:color w:val="000000"/>
          <w:sz w:val="20"/>
        </w:rPr>
        <w:t>Note 16—Subsequent Events”</w:t>
      </w:r>
      <w:r>
        <w:rPr>
          <w:color w:val="000000"/>
        </w:rPr>
        <w:t xml:space="preserve"> </w:t>
      </w:r>
      <w:r>
        <w:rPr>
          <w:rFonts w:ascii="Times New Roman;serif" w:hAnsi="Times New Roman;serif"/>
          <w:b w:val="false"/>
          <w:color w:val="000000"/>
          <w:sz w:val="20"/>
        </w:rPr>
        <w:t>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9 </w:t>
      </w:r>
      <w:r>
        <w:rPr>
          <w:color w:val="000000"/>
        </w:rPr>
        <w:t xml:space="preserve">— </w:t>
      </w:r>
      <w:r>
        <w:rPr>
          <w:rFonts w:ascii="Times New Roman;serif" w:hAnsi="Times New Roman;serif"/>
          <w:b/>
          <w:color w:val="000000"/>
          <w:sz w:val="20"/>
        </w:rPr>
        <w:t xml:space="preserve">Lease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assets under operating leases, which primarily consist of real estate leases, and finance leases, which generally consist of laboratory equipment leases and office equipment leases, as of June 30, 2025. The Company’s real estate agreements expire at various times between 2026 through 2033 and include renewal options that range from three to five years in length.</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Lease expense under operating and finance leases was as follows (in thousands):</w:t>
      </w:r>
    </w:p>
    <w:tbl>
      <w:tblPr>
        <w:tblW w:w="8285" w:type="dxa"/>
        <w:jc w:val="left"/>
        <w:tblInd w:w="0" w:type="dxa"/>
        <w:tblLayout w:type="fixed"/>
        <w:tblCellMar>
          <w:top w:w="28" w:type="dxa"/>
          <w:left w:w="28" w:type="dxa"/>
          <w:bottom w:w="28" w:type="dxa"/>
          <w:right w:w="28" w:type="dxa"/>
        </w:tblCellMar>
      </w:tblPr>
      <w:tblGrid>
        <w:gridCol w:w="1054"/>
        <w:gridCol w:w="925"/>
        <w:gridCol w:w="931"/>
        <w:gridCol w:w="291"/>
        <w:gridCol w:w="644"/>
        <w:gridCol w:w="150"/>
        <w:gridCol w:w="150"/>
        <w:gridCol w:w="150"/>
        <w:gridCol w:w="150"/>
        <w:gridCol w:w="291"/>
        <w:gridCol w:w="644"/>
        <w:gridCol w:w="150"/>
        <w:gridCol w:w="109"/>
        <w:gridCol w:w="109"/>
        <w:gridCol w:w="109"/>
        <w:gridCol w:w="228"/>
        <w:gridCol w:w="667"/>
        <w:gridCol w:w="118"/>
        <w:gridCol w:w="118"/>
        <w:gridCol w:w="118"/>
        <w:gridCol w:w="118"/>
        <w:gridCol w:w="228"/>
        <w:gridCol w:w="667"/>
        <w:gridCol w:w="166"/>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expense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supplemental information related to leases was as follows:</w:t>
      </w:r>
    </w:p>
    <w:tbl>
      <w:tblPr>
        <w:tblW w:w="6798" w:type="dxa"/>
        <w:jc w:val="left"/>
        <w:tblInd w:w="0" w:type="dxa"/>
        <w:tblLayout w:type="fixed"/>
        <w:tblCellMar>
          <w:top w:w="28" w:type="dxa"/>
          <w:left w:w="28" w:type="dxa"/>
          <w:bottom w:w="28" w:type="dxa"/>
          <w:right w:w="28" w:type="dxa"/>
        </w:tblCellMar>
      </w:tblPr>
      <w:tblGrid>
        <w:gridCol w:w="1220"/>
        <w:gridCol w:w="1074"/>
        <w:gridCol w:w="1081"/>
        <w:gridCol w:w="327"/>
        <w:gridCol w:w="289"/>
        <w:gridCol w:w="711"/>
        <w:gridCol w:w="109"/>
        <w:gridCol w:w="109"/>
        <w:gridCol w:w="109"/>
        <w:gridCol w:w="360"/>
        <w:gridCol w:w="360"/>
        <w:gridCol w:w="1049"/>
      </w:tblGrid>
      <w:tr>
        <w:trPr/>
        <w:tc>
          <w:tcPr>
            <w:tcW w:w="122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w:t>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years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years</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in the Condensed Consolidated Balance Sheets of the Company’s operating leases (in thousands): </w:t>
      </w:r>
    </w:p>
    <w:tbl>
      <w:tblPr>
        <w:tblW w:w="10205" w:type="dxa"/>
        <w:jc w:val="left"/>
        <w:tblInd w:w="0" w:type="dxa"/>
        <w:tblLayout w:type="fixed"/>
        <w:tblCellMar>
          <w:top w:w="28" w:type="dxa"/>
          <w:left w:w="28" w:type="dxa"/>
          <w:bottom w:w="28" w:type="dxa"/>
          <w:right w:w="28" w:type="dxa"/>
        </w:tblCellMar>
      </w:tblPr>
      <w:tblGrid>
        <w:gridCol w:w="1110"/>
        <w:gridCol w:w="965"/>
        <w:gridCol w:w="970"/>
        <w:gridCol w:w="1296"/>
        <w:gridCol w:w="1283"/>
        <w:gridCol w:w="1286"/>
        <w:gridCol w:w="281"/>
        <w:gridCol w:w="823"/>
        <w:gridCol w:w="145"/>
        <w:gridCol w:w="109"/>
        <w:gridCol w:w="109"/>
        <w:gridCol w:w="109"/>
        <w:gridCol w:w="368"/>
        <w:gridCol w:w="1076"/>
        <w:gridCol w:w="275"/>
      </w:tblGrid>
      <w:tr>
        <w:trPr/>
        <w:tc>
          <w:tcPr>
            <w:tcW w:w="111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Right of use assets</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liabilities</w:t>
            </w:r>
          </w:p>
        </w:tc>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liabilities – current liabilities</w:t>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liabilities – long-term liabilities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8,861 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presentation in the Condensed Consolidated Balance Sheets of the Company’s finance leases (in thousands): </w:t>
      </w:r>
    </w:p>
    <w:tbl>
      <w:tblPr>
        <w:tblW w:w="10205" w:type="dxa"/>
        <w:jc w:val="left"/>
        <w:tblInd w:w="0" w:type="dxa"/>
        <w:tblLayout w:type="fixed"/>
        <w:tblCellMar>
          <w:top w:w="28" w:type="dxa"/>
          <w:left w:w="28" w:type="dxa"/>
          <w:bottom w:w="28" w:type="dxa"/>
          <w:right w:w="28" w:type="dxa"/>
        </w:tblCellMar>
      </w:tblPr>
      <w:tblGrid>
        <w:gridCol w:w="1081"/>
        <w:gridCol w:w="949"/>
        <w:gridCol w:w="952"/>
        <w:gridCol w:w="1290"/>
        <w:gridCol w:w="1287"/>
        <w:gridCol w:w="1290"/>
        <w:gridCol w:w="285"/>
        <w:gridCol w:w="835"/>
        <w:gridCol w:w="147"/>
        <w:gridCol w:w="109"/>
        <w:gridCol w:w="109"/>
        <w:gridCol w:w="109"/>
        <w:gridCol w:w="377"/>
        <w:gridCol w:w="1102"/>
        <w:gridCol w:w="283"/>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12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8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net</w:t>
            </w:r>
          </w:p>
        </w:tc>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Right of use assets</w:t>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3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lease liabilities – current liabilities</w:t>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3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lease liabilities – long-term liabilities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assets are recorded net of accumulated amortization of $2,265 and $6,065 as of June 30, 2025 and December 31, 2024, respectively. Finance lease assets are recorded net of accumulated amortization of $4,988 and $4,059 as of June 30, 2025 and December 31, 2024, respectively.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Maturities of lease liabilities as of June 30, 2025 are as follows (in thousands): </w:t>
      </w:r>
    </w:p>
    <w:tbl>
      <w:tblPr>
        <w:tblW w:w="5200" w:type="dxa"/>
        <w:jc w:val="left"/>
        <w:tblInd w:w="0" w:type="dxa"/>
        <w:tblLayout w:type="fixed"/>
        <w:tblCellMar>
          <w:top w:w="28" w:type="dxa"/>
          <w:left w:w="28" w:type="dxa"/>
          <w:bottom w:w="28" w:type="dxa"/>
          <w:right w:w="28" w:type="dxa"/>
        </w:tblCellMar>
      </w:tblPr>
      <w:tblGrid>
        <w:gridCol w:w="668"/>
        <w:gridCol w:w="586"/>
        <w:gridCol w:w="591"/>
        <w:gridCol w:w="358"/>
        <w:gridCol w:w="1046"/>
        <w:gridCol w:w="185"/>
        <w:gridCol w:w="109"/>
        <w:gridCol w:w="109"/>
        <w:gridCol w:w="109"/>
        <w:gridCol w:w="309"/>
        <w:gridCol w:w="904"/>
        <w:gridCol w:w="226"/>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(remaining)</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15,146 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10194" w:type="dxa"/>
        <w:jc w:val="left"/>
        <w:tblInd w:w="0" w:type="dxa"/>
        <w:tblLayout w:type="fixed"/>
        <w:tblCellMar>
          <w:top w:w="28" w:type="dxa"/>
          <w:left w:w="28" w:type="dxa"/>
          <w:bottom w:w="28" w:type="dxa"/>
          <w:right w:w="28" w:type="dxa"/>
        </w:tblCellMar>
      </w:tblPr>
      <w:tblGrid>
        <w:gridCol w:w="2817"/>
        <w:gridCol w:w="2469"/>
        <w:gridCol w:w="2483"/>
        <w:gridCol w:w="244"/>
        <w:gridCol w:w="540"/>
        <w:gridCol w:w="126"/>
        <w:gridCol w:w="126"/>
        <w:gridCol w:w="126"/>
        <w:gridCol w:w="126"/>
        <w:gridCol w:w="244"/>
        <w:gridCol w:w="715"/>
        <w:gridCol w:w="178"/>
      </w:tblGrid>
      <w:tr>
        <w:trPr/>
        <w:tc>
          <w:tcPr>
            <w:tcW w:w="2817"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operating lease liabilities: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 obtained in exchange for finance lease liabilities: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increase to operating lease assets due to remeasurement of operating lease liabilities:</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color w:val="000000"/>
          <w:sz w:val="20"/>
        </w:rPr>
        <w:t xml:space="preserve">Note 10 </w:t>
      </w:r>
      <w:r>
        <w:rPr>
          <w:color w:val="000000"/>
        </w:rPr>
        <w:t xml:space="preserve">— </w:t>
      </w:r>
      <w:r>
        <w:rPr>
          <w:rFonts w:ascii="Times New Roman;serif" w:hAnsi="Times New Roman;serif"/>
          <w:b/>
          <w:color w:val="000000"/>
          <w:sz w:val="20"/>
        </w:rPr>
        <w:t>Stockholders</w:t>
      </w:r>
      <w:r>
        <w:rPr>
          <w:color w:val="000000"/>
        </w:rPr>
        <w:t xml:space="preserve">’ </w:t>
      </w:r>
      <w:r>
        <w:rPr>
          <w:rFonts w:ascii="Times New Roman;serif" w:hAnsi="Times New Roman;serif"/>
          <w:b/>
          <w:color w:val="000000"/>
          <w:sz w:val="20"/>
        </w:rPr>
        <w:t>Equity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Shares Reserved for Future Issuance of Common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common stock for issuance as follows (in thousands):</w:t>
      </w:r>
    </w:p>
    <w:tbl>
      <w:tblPr>
        <w:tblW w:w="9939" w:type="dxa"/>
        <w:jc w:val="left"/>
        <w:tblInd w:w="0" w:type="dxa"/>
        <w:tblLayout w:type="fixed"/>
        <w:tblCellMar>
          <w:top w:w="28" w:type="dxa"/>
          <w:left w:w="28" w:type="dxa"/>
          <w:bottom w:w="28" w:type="dxa"/>
          <w:right w:w="28" w:type="dxa"/>
        </w:tblCellMar>
      </w:tblPr>
      <w:tblGrid>
        <w:gridCol w:w="2379"/>
        <w:gridCol w:w="2092"/>
        <w:gridCol w:w="2098"/>
        <w:gridCol w:w="424"/>
        <w:gridCol w:w="424"/>
        <w:gridCol w:w="426"/>
        <w:gridCol w:w="109"/>
        <w:gridCol w:w="109"/>
        <w:gridCol w:w="109"/>
        <w:gridCol w:w="517"/>
        <w:gridCol w:w="517"/>
        <w:gridCol w:w="735"/>
      </w:tblGrid>
      <w:tr>
        <w:trPr/>
        <w:tc>
          <w:tcPr>
            <w:tcW w:w="2379"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exercises of outstanding stock options</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44,240 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vesting of restricted stock units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10,112 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Stock Incentive Plan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13,332 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Shares reserved for future issuance under the Inducement Equity Incentive Plan </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future issuance under the Employee Stock Purchase Plan</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4,841 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reserved for future issuance</w:t>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71,789 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62,158 </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Note 11 </w:t>
      </w:r>
      <w:r>
        <w:rPr>
          <w:color w:val="000000"/>
        </w:rPr>
        <w:t xml:space="preserve">— </w:t>
      </w:r>
      <w:r>
        <w:rPr>
          <w:rFonts w:ascii="Times New Roman;serif" w:hAnsi="Times New Roman;serif"/>
          <w:b/>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2025,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21, 2025 and approved by the Company’s stockholders on June 12, 2025. The Inducement Plan was most recently amended and restated by the Company’s Board of Directors on October 26, 2023. The ESPP was most recently amended and restated by the Company’s Board of Directors on July 7, 2023.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recorded the following stock-based compensation expense (in thousands):</w:t>
      </w:r>
    </w:p>
    <w:tbl>
      <w:tblPr>
        <w:tblW w:w="8478" w:type="dxa"/>
        <w:jc w:val="left"/>
        <w:tblInd w:w="0" w:type="dxa"/>
        <w:tblLayout w:type="fixed"/>
        <w:tblCellMar>
          <w:top w:w="28" w:type="dxa"/>
          <w:left w:w="28" w:type="dxa"/>
          <w:bottom w:w="28" w:type="dxa"/>
          <w:right w:w="28" w:type="dxa"/>
        </w:tblCellMar>
      </w:tblPr>
      <w:tblGrid>
        <w:gridCol w:w="1104"/>
        <w:gridCol w:w="968"/>
        <w:gridCol w:w="972"/>
        <w:gridCol w:w="227"/>
        <w:gridCol w:w="792"/>
        <w:gridCol w:w="117"/>
        <w:gridCol w:w="117"/>
        <w:gridCol w:w="117"/>
        <w:gridCol w:w="117"/>
        <w:gridCol w:w="227"/>
        <w:gridCol w:w="792"/>
        <w:gridCol w:w="117"/>
        <w:gridCol w:w="109"/>
        <w:gridCol w:w="109"/>
        <w:gridCol w:w="109"/>
        <w:gridCol w:w="211"/>
        <w:gridCol w:w="736"/>
        <w:gridCol w:w="109"/>
        <w:gridCol w:w="109"/>
        <w:gridCol w:w="109"/>
        <w:gridCol w:w="109"/>
        <w:gridCol w:w="211"/>
        <w:gridCol w:w="736"/>
        <w:gridCol w:w="154"/>
      </w:tblGrid>
      <w:tr>
        <w:trPr/>
        <w:tc>
          <w:tcPr>
            <w:tcW w:w="110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 Plan</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22,500</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Inducement Plan</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4,007</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21,304</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13,173</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42,672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26,825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Incentive Plan:</w:t>
      </w:r>
    </w:p>
    <w:tbl>
      <w:tblPr>
        <w:tblW w:w="10205" w:type="dxa"/>
        <w:jc w:val="left"/>
        <w:tblInd w:w="0" w:type="dxa"/>
        <w:tblLayout w:type="fixed"/>
        <w:tblCellMar>
          <w:top w:w="28" w:type="dxa"/>
          <w:left w:w="28" w:type="dxa"/>
          <w:bottom w:w="28" w:type="dxa"/>
          <w:right w:w="28" w:type="dxa"/>
        </w:tblCellMar>
      </w:tblPr>
      <w:tblGrid>
        <w:gridCol w:w="684"/>
        <w:gridCol w:w="601"/>
        <w:gridCol w:w="604"/>
        <w:gridCol w:w="413"/>
        <w:gridCol w:w="360"/>
        <w:gridCol w:w="362"/>
        <w:gridCol w:w="109"/>
        <w:gridCol w:w="109"/>
        <w:gridCol w:w="109"/>
        <w:gridCol w:w="542"/>
        <w:gridCol w:w="1316"/>
        <w:gridCol w:w="282"/>
        <w:gridCol w:w="109"/>
        <w:gridCol w:w="109"/>
        <w:gridCol w:w="109"/>
        <w:gridCol w:w="812"/>
        <w:gridCol w:w="812"/>
        <w:gridCol w:w="814"/>
        <w:gridCol w:w="109"/>
        <w:gridCol w:w="109"/>
        <w:gridCol w:w="109"/>
        <w:gridCol w:w="313"/>
        <w:gridCol w:w="1072"/>
        <w:gridCol w:w="237"/>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39,082 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37,390 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61,951 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2025</w:t>
            </w:r>
          </w:p>
        </w:tc>
        <w:tc>
          <w:tcPr>
            <w:tcW w:w="7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23,804 </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42,079 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Incentive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2025</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Incentive Plan, the fair value of the awards is determined based on the market value of the Company’s shares on the grant date. The weighted average grant date fair value of these awards granted during the first six months of 2025 and 2024 was $9.55 and $5.80, respectively. The fair value of the restricted stock unit awards is amortized to expense over the vesting periods using a straight-line expense attribution method.</w:t>
      </w:r>
    </w:p>
    <w:p>
      <w:pPr>
        <w:pStyle w:val="TextBody"/>
        <w:bidi w:val="0"/>
        <w:spacing w:lineRule="auto" w:line="288" w:before="200" w:after="283"/>
        <w:jc w:val="left"/>
        <w:rPr/>
      </w:pPr>
      <w:r>
        <w:rPr>
          <w:rFonts w:ascii="Times New Roman;serif" w:hAnsi="Times New Roman;serif"/>
          <w:b/>
          <w:i/>
          <w:color w:val="000000"/>
          <w:sz w:val="20"/>
        </w:rPr>
        <w:t>Inducement Equity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the Inducement Plan:</w:t>
      </w:r>
    </w:p>
    <w:tbl>
      <w:tblPr>
        <w:tblW w:w="10205" w:type="dxa"/>
        <w:jc w:val="left"/>
        <w:tblInd w:w="0" w:type="dxa"/>
        <w:tblLayout w:type="fixed"/>
        <w:tblCellMar>
          <w:top w:w="28" w:type="dxa"/>
          <w:left w:w="28" w:type="dxa"/>
          <w:bottom w:w="28" w:type="dxa"/>
          <w:right w:w="28" w:type="dxa"/>
        </w:tblCellMar>
      </w:tblPr>
      <w:tblGrid>
        <w:gridCol w:w="688"/>
        <w:gridCol w:w="604"/>
        <w:gridCol w:w="607"/>
        <w:gridCol w:w="361"/>
        <w:gridCol w:w="361"/>
        <w:gridCol w:w="362"/>
        <w:gridCol w:w="109"/>
        <w:gridCol w:w="109"/>
        <w:gridCol w:w="109"/>
        <w:gridCol w:w="546"/>
        <w:gridCol w:w="1326"/>
        <w:gridCol w:w="284"/>
        <w:gridCol w:w="109"/>
        <w:gridCol w:w="109"/>
        <w:gridCol w:w="109"/>
        <w:gridCol w:w="818"/>
        <w:gridCol w:w="818"/>
        <w:gridCol w:w="820"/>
        <w:gridCol w:w="109"/>
        <w:gridCol w:w="109"/>
        <w:gridCol w:w="109"/>
        <w:gridCol w:w="314"/>
        <w:gridCol w:w="1076"/>
        <w:gridCol w:w="239"/>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br/>
              <w:t>(in thousands)</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5,158 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 or Forfeited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2025</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4,703 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10,636 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2025</w:t>
            </w:r>
          </w:p>
        </w:tc>
        <w:tc>
          <w:tcPr>
            <w:tcW w:w="7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9,095 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the Inducement Plan:</w:t>
      </w:r>
    </w:p>
    <w:tbl>
      <w:tblPr>
        <w:tblW w:w="7975" w:type="dxa"/>
        <w:jc w:val="left"/>
        <w:tblInd w:w="0" w:type="dxa"/>
        <w:tblLayout w:type="fixed"/>
        <w:tblCellMar>
          <w:top w:w="28" w:type="dxa"/>
          <w:left w:w="28" w:type="dxa"/>
          <w:bottom w:w="28" w:type="dxa"/>
          <w:right w:w="28" w:type="dxa"/>
        </w:tblCellMar>
      </w:tblPr>
      <w:tblGrid>
        <w:gridCol w:w="977"/>
        <w:gridCol w:w="858"/>
        <w:gridCol w:w="864"/>
        <w:gridCol w:w="424"/>
        <w:gridCol w:w="424"/>
        <w:gridCol w:w="426"/>
        <w:gridCol w:w="109"/>
        <w:gridCol w:w="109"/>
        <w:gridCol w:w="109"/>
        <w:gridCol w:w="883"/>
        <w:gridCol w:w="2142"/>
        <w:gridCol w:w="65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2025</w:t>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restricted stock unit awards granted under the Inducement Plan, the fair value of the awards is determined based on the market value of the Company’s shares on the grant date. The weighted average grant date fair value of these awards granted during the first six months of 2025 and 2024 was $8.58 and $5.36, respectively. The fair value of the restricted stock unit awards is amortized to expense over the vesting periods using a straight-line expense attribution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Weighted Average Assumptions for Stock Option Awards Granted to Employees and Directors under the Incentive and Inducement Plans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stock option awards granted under the Incentive Plan and the Inducement Plan, the fair value is estimated on the date of grant using a Black-Scholes option pricing model and the assumptions noted below. The fair value of the stock option awards is amortized to expense over the vesting periods using a straight-line expense attribution method. </w:t>
      </w:r>
    </w:p>
    <w:p>
      <w:pPr>
        <w:pStyle w:val="TextBody"/>
        <w:bidi w:val="0"/>
        <w:spacing w:lineRule="auto" w:line="288" w:before="200" w:after="283"/>
        <w:jc w:val="left"/>
        <w:rPr/>
      </w:pPr>
      <w:r>
        <w:rPr>
          <w:rFonts w:ascii="Times New Roman;serif" w:hAnsi="Times New Roman;serif"/>
          <w:b w:val="false"/>
          <w:i/>
          <w:color w:val="000000"/>
          <w:sz w:val="20"/>
        </w:rPr>
        <w:t>Stock Incentive Plan</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key assumptions used by the Company to value the stock option awards granted under the Incentive Plan during the six months ended June 30, 2025 and 2024. </w:t>
      </w:r>
    </w:p>
    <w:tbl>
      <w:tblPr>
        <w:tblW w:w="6445" w:type="dxa"/>
        <w:jc w:val="left"/>
        <w:tblInd w:w="0" w:type="dxa"/>
        <w:tblLayout w:type="fixed"/>
        <w:tblCellMar>
          <w:top w:w="28" w:type="dxa"/>
          <w:left w:w="28" w:type="dxa"/>
          <w:bottom w:w="28" w:type="dxa"/>
          <w:right w:w="28" w:type="dxa"/>
        </w:tblCellMar>
      </w:tblPr>
      <w:tblGrid>
        <w:gridCol w:w="1457"/>
        <w:gridCol w:w="1279"/>
        <w:gridCol w:w="1283"/>
        <w:gridCol w:w="217"/>
        <w:gridCol w:w="526"/>
        <w:gridCol w:w="279"/>
        <w:gridCol w:w="112"/>
        <w:gridCol w:w="112"/>
        <w:gridCol w:w="112"/>
        <w:gridCol w:w="217"/>
        <w:gridCol w:w="526"/>
        <w:gridCol w:w="325"/>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77.1 </w:t>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5"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Inducement Equity Incentive Plan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assumptions used by the Company to value the stock option awards granted under the Inducement Plan during the six months ended June 30, 2025 and 2024.</w:t>
      </w:r>
    </w:p>
    <w:tbl>
      <w:tblPr>
        <w:tblW w:w="6445" w:type="dxa"/>
        <w:jc w:val="left"/>
        <w:tblInd w:w="0" w:type="dxa"/>
        <w:tblLayout w:type="fixed"/>
        <w:tblCellMar>
          <w:top w:w="28" w:type="dxa"/>
          <w:left w:w="28" w:type="dxa"/>
          <w:bottom w:w="28" w:type="dxa"/>
          <w:right w:w="28" w:type="dxa"/>
        </w:tblCellMar>
      </w:tblPr>
      <w:tblGrid>
        <w:gridCol w:w="1457"/>
        <w:gridCol w:w="1279"/>
        <w:gridCol w:w="1283"/>
        <w:gridCol w:w="217"/>
        <w:gridCol w:w="526"/>
        <w:gridCol w:w="279"/>
        <w:gridCol w:w="112"/>
        <w:gridCol w:w="112"/>
        <w:gridCol w:w="112"/>
        <w:gridCol w:w="217"/>
        <w:gridCol w:w="526"/>
        <w:gridCol w:w="325"/>
      </w:tblGrid>
      <w:tr>
        <w:trPr/>
        <w:tc>
          <w:tcPr>
            <w:tcW w:w="14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0.0 </w:t>
            </w:r>
          </w:p>
        </w:tc>
        <w:tc>
          <w:tcPr>
            <w:tcW w:w="32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3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12</w:t>
      </w:r>
      <w:r>
        <w:rPr>
          <w:color w:val="000000"/>
        </w:rPr>
        <w:t xml:space="preserve"> — </w:t>
      </w:r>
      <w:r>
        <w:rPr>
          <w:rFonts w:ascii="Times New Roman;serif" w:hAnsi="Times New Roman;serif"/>
          <w:b/>
          <w:color w:val="000000"/>
          <w:sz w:val="20"/>
        </w:rPr>
        <w:t>Collaborative and Other Relationships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ORLADEYO</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Torii Pharmaceutical Co., Ltd</w:t>
      </w:r>
      <w:r>
        <w:rPr>
          <w:rFonts w:ascii="Times New Roman;serif" w:hAnsi="Times New Roman;serif"/>
          <w:b w:val="false"/>
          <w:color w:val="000000"/>
          <w:sz w:val="20"/>
        </w:rPr>
        <w:t xml:space="preserve">. </w:t>
      </w:r>
      <w:r>
        <w:rPr>
          <w:rFonts w:ascii="Times New Roman;serif" w:hAnsi="Times New Roman;serif"/>
          <w:b w:val="false"/>
          <w:i/>
          <w:color w:val="000000"/>
          <w:sz w:val="20"/>
        </w:rPr>
        <w:t>(“Torii”)</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2019, the Company entered into a Commercialization and License Agreement with Torii (the “Original Torii Agreement”), granting Torii the exclusive right to commercialize ORLADEYO for the prevention of HAE attacks in Japan. Under the Original Torii Agreement, the Company received an upfront, non-refundable payment of $22,000. The Company received an additional milestone payment of $15,000 in the second quarter of 2021 upon receipt from the Japanese National Health Insurance System of a reimbursement price approval for ORLADEYO. In addition, the Company was entitled to receive tiered royalty payments, ranging from 20% to 40% of annual net sales of ORLADEYO in Japan during each calendar year. Torii’s royalty payment obligations were subject to customary reductions in certain circumstances, but could not be reduced by more than 50% of the amount that otherwise would have been payable to the Company in the applicable calendar quarter.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identified performance obligations under the Original Torii Agreement related to (i) the license to develop and commercialize ORLADEYO, (ii) regulatory approval support, and (iii) reimbursement pricing approval support. These were each determined to be distinct from the other performance obligations. The Company allocated the $22,000 upfront consideration to the identified performance obligations using estimation approaches to determine the standalone selling prices under ASC Topic 606. Specifically, in determining the value related to the license, a valuation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approach utilizing risk adjusted discounted cash flow projections was used, and an expected cost plus margin approach was utilized for the other performance obligations.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30, 2023, the Company entered into an Amended and Restated Commercialization and License Agreement with Torii (as amended, the “Torii Agreement”). Under the Torii Agreement, the Company is entitled to receive tiered royalty payments, ranging from 20% to 80% of annual net sales of ORLADEYO in Japan during each calendar year. The Company is now responsible for all commercial promotion activities to support ORLADEYO sales in Japan, and Torii is responsible for HAE disease awareness activities in Japan. The Company will receive a 20% royalty on annual Japanese sales below a prespecified threshold and an 80% royalty on annual Japanese sales above the prespecified threshold.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Torii’s updated royalty payment obligations commenced on November 30, 2023 and expire upon the later of (i) the tenth anniversary of the date of first commercial sale of ORLADEYO in Japan, (ii) the expiration of the Company’s patents covering ORLADEYO, and (iii) the expiration of regulatory exclusivity for ORLADEYO in Japan.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Torii Agreement represented a contract modification to be accounted for as if it were part of the Original Torii Agreement under ASC Topic 606. As the performance obligations under the Original Torii Agreement had been fully satisfied, the Company was not required to adjust revenue previously recognized.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Peramivir Injection (RAPIVAB, RAPIACTA, PERAMIFLU)</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U.S. Department of Health and Human Services (“HHS”)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the HHS awarded the Company up to a $69,388 contract for the procurement of up to 95.6 thousand doses over a five-year period of RAPIVAB (peramivir injection) for the treatment of influenza. The contract, awarded by the HHS Office of the Administration for Strategic Preparedness and Response (“ASPR”), will supply the Center for the Strategic National Stockpile, the nation’s largest supply of life-saving pharmaceuticals and medical supplies for use in a public health emergency. The contract is structured with a 12-month base ordering period and four optional 12-month ordering periods, which the government can exercise on an annual basis. ASPR executed the first ordering period for $13,878. The Company delivered 8.6 thousand and 16.8 thousand doses of peramivir under this contract for the three and six months ended June 30, 2025, respectively. The Company recorded revenue of $6,208 and $12,206 for the three and six months ended June 30, 2025, respectively. As the contract was entered into in September 2024, there were no doses delivered and no revenue recorded for the three months ended June 30, 2024. On May 15, 2025, ASPR notified the Company of its intent to not exercise any additional optional ordering periods available under the agreement.</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Shionogi &amp; Co., Ltd. (“Shionogi”)</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2007, the Company entered into an exclusive license agreement with Shionogi to develop and commercialize peramivir in Japan for the treatment of seasonal and potentially life-threatening human influenza. Under the terms of the agreement, Shionogi obtained rights to injectable formulations of peramivir in Japan. In October 2008, the Company and Shionogi amended the license agreement to expand the territory covered by the agreement to include Taiwan. Shionogi has commercially launched peramivir under the commercial name RAPIACTA in Japan and Taiwan. The Company developed peramivir under a license from UAB and owes sublicense payments to UAB on any future milestone payments and/or royalties received by the Company from Shionogi. </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Green Cross Corporation</w:t>
      </w:r>
      <w:r>
        <w:rPr>
          <w:color w:val="000000"/>
        </w:rPr>
        <w:t xml:space="preserve"> </w:t>
      </w:r>
      <w:r>
        <w:rPr>
          <w:rFonts w:ascii="Times New Roman;serif" w:hAnsi="Times New Roman;serif"/>
          <w:b w:val="false"/>
          <w:i/>
          <w:color w:val="000000"/>
          <w:sz w:val="20"/>
        </w:rPr>
        <w:t>(“Green Cross”)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June 2006, the Company entered into an agreement with Green Cross to develop and commercialize 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Other Collaborations</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Clearside Biomedical, Inc. (“Clearside”)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announced that it entered into a license agreement (the “Clearside Agreement”) with Clearside, enabling the Company to develop its investigational plasma kallikrein inhibitor, avoralstat, with Clearside’s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SCS Microinjector® to deliver avoralstat to the back of the eye through the suprachoroidal space to treat patients with diabetic macular edema.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Clearside Agreement, Clearside received a $5,000 upfront license fee from the Company, which was recognized in research and development expenses during the year ended December 31, 2023. Clearside is eligible to receive up to an additional $30,000 in clinical and regulatory milestone payments, and up to a total of $47,500 in three post-approval sales-based milestone payments as annual global net sales progress to $2,000,000. The Company will pay Clearside tiered mid-single digit royalties on annual global net product sales, at three tiers, including a top tier of &gt;$1,500,000.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left"/>
        <w:rPr/>
      </w:pPr>
      <w:r>
        <w:rPr>
          <w:rFonts w:ascii="Times New Roman;serif" w:hAnsi="Times New Roman;serif"/>
          <w:b/>
          <w:color w:val="000000"/>
          <w:sz w:val="20"/>
        </w:rPr>
        <w:t xml:space="preserve">Note 13 </w:t>
      </w:r>
      <w:r>
        <w:rPr>
          <w:color w:val="000000"/>
        </w:rPr>
        <w:t xml:space="preserve">— </w:t>
      </w:r>
      <w:r>
        <w:rPr>
          <w:rFonts w:ascii="Times New Roman;serif" w:hAnsi="Times New Roman;serif"/>
          <w:b/>
          <w:color w:val="000000"/>
          <w:sz w:val="20"/>
        </w:rPr>
        <w:t>Segment Information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operates as one reportable and operating segment, centered around its commercialized product, ORLADEYO, and its pipeline with the goal of developing first-in-class or best-in-class oral small-molecule and injectable protein therapeutics to target difficult-to-treat rare diseases. The determination of a single segment is consistent with the consolidated financial information regularly provided to the Company’s chief operating decision maker (“CODM”). The Chief Executive Officer, as the CODM, uses consolidated, single-segment financial information for purposes of evaluating performance, making operating decisions, allocating resources, and planning and forecasting for future periods.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The CODM assesses performance and decides how to allocate resources based on consolidated net income (loss). This measure is used to monitor budget versus actual results to evaluate the performance of the segment. The CODM uses consolidated cash, cash equivalents and investments as the measure of segment assets. As of June 30, 2025 the Company’s cash, cash equivalents, and investments were $285,197, of which $15,058 was considered held for sale (see </w:t>
      </w:r>
      <w:r>
        <w:rPr>
          <w:rFonts w:ascii="Times New Roman;serif" w:hAnsi="Times New Roman;serif"/>
          <w:b w:val="false"/>
          <w:i/>
          <w:color w:val="000000"/>
          <w:sz w:val="20"/>
        </w:rPr>
        <w:t>Note 2 - Assets Held for Sale”</w:t>
      </w:r>
      <w:r>
        <w:rPr>
          <w:rFonts w:ascii="Times New Roman;serif" w:hAnsi="Times New Roman;serif"/>
          <w:b w:val="false"/>
          <w:color w:val="000000"/>
          <w:sz w:val="20"/>
        </w:rPr>
        <w:t>). As of December 31, 2024 the Company’s cash, cash equivalents, and investments were $341,173.</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information about segment revenues, significant segment expenses, and segment net income (loss) for the three and six months ended June 30, 2025 and 2024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tbl>
      <w:tblPr>
        <w:tblW w:w="9753" w:type="dxa"/>
        <w:jc w:val="left"/>
        <w:tblInd w:w="0" w:type="dxa"/>
        <w:tblLayout w:type="fixed"/>
        <w:tblCellMar>
          <w:top w:w="28" w:type="dxa"/>
          <w:left w:w="28" w:type="dxa"/>
          <w:bottom w:w="28" w:type="dxa"/>
          <w:right w:w="28" w:type="dxa"/>
        </w:tblCellMar>
      </w:tblPr>
      <w:tblGrid>
        <w:gridCol w:w="1502"/>
        <w:gridCol w:w="1314"/>
        <w:gridCol w:w="1323"/>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163,353 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109,332 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Less</w:t>
            </w:r>
            <w:r>
              <w:rPr>
                <w:rFonts w:ascii="Times New Roman;serif" w:hAnsi="Times New Roman;serif"/>
                <w:b/>
                <w:color w:val="000000"/>
                <w:sz w:val="13"/>
              </w:rPr>
              <w:t>1</w:t>
            </w:r>
            <w:r>
              <w:rPr>
                <w:rFonts w:ascii="Times New Roman;serif" w:hAnsi="Times New Roman;serif"/>
                <w:b/>
                <w:color w:val="000000"/>
                <w:sz w:val="20"/>
              </w:rPr>
              <w:t>:</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preclinical and development costs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net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income (loss)</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(48,053)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segment profit or loss: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and reconciling items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(12,674)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(48,053)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3"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The significant expense categories and amounts align with the segment-level information that is regularly provided to the CODM.</w:t>
            </w:r>
          </w:p>
        </w:tc>
      </w:tr>
    </w:tbl>
    <w:p>
      <w:pPr>
        <w:pStyle w:val="TextBody"/>
        <w:bidi w:val="0"/>
        <w:spacing w:lineRule="auto" w:line="276" w:before="240" w:after="283"/>
        <w:jc w:val="left"/>
        <w:rPr/>
      </w:pPr>
      <w:r>
        <w:rPr>
          <w:rFonts w:ascii="Times New Roman;serif" w:hAnsi="Times New Roman;serif"/>
          <w:b w:val="false"/>
          <w:color w:val="000000"/>
          <w:sz w:val="20"/>
        </w:rPr>
        <w:t>All material long-lived assets of the Company reside in the U.S. For geographic information about the Company’s product revenues, see “</w:t>
      </w:r>
      <w:r>
        <w:rPr>
          <w:rFonts w:ascii="Times New Roman;serif" w:hAnsi="Times New Roman;serif"/>
          <w:b w:val="false"/>
          <w:i/>
          <w:color w:val="000000"/>
          <w:sz w:val="20"/>
        </w:rPr>
        <w:t>Note 3—Revenue</w:t>
      </w:r>
      <w:r>
        <w:rPr>
          <w:color w:val="000000"/>
        </w:rPr>
        <w:t>”</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14</w:t>
      </w:r>
      <w:r>
        <w:rPr>
          <w:color w:val="000000"/>
        </w:rPr>
        <w:t xml:space="preserve"> — </w:t>
      </w:r>
      <w:r>
        <w:rPr>
          <w:rFonts w:ascii="Times New Roman;serif" w:hAnsi="Times New Roman;serif"/>
          <w:b/>
          <w:color w:val="000000"/>
          <w:sz w:val="20"/>
        </w:rPr>
        <w:t>Commitments and Contingencies</w:t>
      </w:r>
    </w:p>
    <w:p>
      <w:pPr>
        <w:pStyle w:val="TextBody"/>
        <w:bidi w:val="0"/>
        <w:spacing w:lineRule="auto" w:line="276"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the Company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the Company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The Company is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While the Company intends to vigorously defend its intellectual property rights protecting ORLADEYO, this matter is in the early stages of litigation and no assessment can be made as to the likely outcome of this matter or whether it will be material to the Company. Accordingly, an estimate of the potential loss, or range of loss, if any, to the Company relating to this matter is not possible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color w:val="000000"/>
          <w:sz w:val="20"/>
        </w:rPr>
        <w:t>Note 15</w:t>
      </w:r>
      <w:r>
        <w:rPr>
          <w:color w:val="000000"/>
        </w:rPr>
        <w:t xml:space="preserve"> — </w:t>
      </w:r>
      <w:r>
        <w:rPr>
          <w:rFonts w:ascii="Times New Roman;serif" w:hAnsi="Times New Roman;serif"/>
          <w:b/>
          <w:color w:val="000000"/>
          <w:sz w:val="20"/>
        </w:rPr>
        <w:t>Net Income (Loss) Per Share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(loss) per share for the three and six months ended June 30, 2025 and 2024 were calculated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771"/>
        <w:gridCol w:w="1542"/>
        <w:gridCol w:w="1552"/>
        <w:gridCol w:w="229"/>
        <w:gridCol w:w="672"/>
        <w:gridCol w:w="118"/>
        <w:gridCol w:w="118"/>
        <w:gridCol w:w="118"/>
        <w:gridCol w:w="118"/>
        <w:gridCol w:w="229"/>
        <w:gridCol w:w="863"/>
        <w:gridCol w:w="118"/>
        <w:gridCol w:w="109"/>
        <w:gridCol w:w="109"/>
        <w:gridCol w:w="109"/>
        <w:gridCol w:w="211"/>
        <w:gridCol w:w="616"/>
        <w:gridCol w:w="109"/>
        <w:gridCol w:w="109"/>
        <w:gridCol w:w="109"/>
        <w:gridCol w:w="109"/>
        <w:gridCol w:w="211"/>
        <w:gridCol w:w="791"/>
        <w:gridCol w:w="165"/>
      </w:tblGrid>
      <w:tr>
        <w:trPr/>
        <w:tc>
          <w:tcPr>
            <w:tcW w:w="177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basic</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206,425 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206,244 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0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9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under the employee stock purchase plan</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9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diluted</w:t>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potentially dilutive securities include outstanding stock options, unvested restricted stock units and shares issuable under the employee stock purchase plan for the three and six months ended June 30, 2025 and 2024.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the dilutive effect of outstanding stock options, restricted stock unit awards, and shares issuable under the employee stock purchase plan was calculated using the treasury method, whereby all such awards are assumed to be exercised at the beginning of the period. The hypothetical proceeds from such exercises, including the average unrecognized stock compensation expense for outstanding stock options, restricted stock units and shares issuable under the employee stock purchase plan, were assumed to be used to purchase outstanding common stock at the average price during the period. The net share impact of dilutive securities was added to the weighted average basic common shares outstanding to calculate weighted average diluted shares outstanding.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2024, during which the Company recorded a net loss, all potentially dilutive securities have been excluded from the computation of diluted net loss per share as the effect would be to reduce the net loss per share, and thus they are considered “anti-dilutive.” For this period, the weighted average number of shares of common stock outstanding used to calculate both basic and diluted net loss per share of common stock is the same.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potential shares of common stock that were excluded from the computation of diluted net income (loss) per share attributable to common stockholders as they were anti-dilutive:</w:t>
      </w:r>
    </w:p>
    <w:tbl>
      <w:tblPr>
        <w:tblW w:w="6986" w:type="dxa"/>
        <w:jc w:val="left"/>
        <w:tblInd w:w="0" w:type="dxa"/>
        <w:tblLayout w:type="fixed"/>
        <w:tblCellMar>
          <w:top w:w="28" w:type="dxa"/>
          <w:left w:w="28" w:type="dxa"/>
          <w:bottom w:w="28" w:type="dxa"/>
          <w:right w:w="28" w:type="dxa"/>
        </w:tblCellMar>
      </w:tblPr>
      <w:tblGrid>
        <w:gridCol w:w="1136"/>
        <w:gridCol w:w="996"/>
        <w:gridCol w:w="1002"/>
        <w:gridCol w:w="579"/>
        <w:gridCol w:w="579"/>
        <w:gridCol w:w="582"/>
        <w:gridCol w:w="109"/>
        <w:gridCol w:w="109"/>
        <w:gridCol w:w="109"/>
        <w:gridCol w:w="520"/>
        <w:gridCol w:w="520"/>
        <w:gridCol w:w="745"/>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2024</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stock options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21,790 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39,013 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22,038 </w:t>
            </w:r>
          </w:p>
        </w:tc>
        <w:tc>
          <w:tcPr>
            <w:tcW w:w="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44,999 </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Note 16</w:t>
      </w:r>
      <w:r>
        <w:rPr>
          <w:color w:val="000000"/>
        </w:rPr>
        <w:t xml:space="preserve"> — </w:t>
      </w:r>
      <w:r>
        <w:rPr>
          <w:rFonts w:ascii="Times New Roman;serif" w:hAnsi="Times New Roman;serif"/>
          <w:b/>
          <w:color w:val="000000"/>
          <w:sz w:val="20"/>
        </w:rPr>
        <w:t>Subsequent Events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24, 2025, as allowable under the Pharmakon Loan Agreement, the Company made a $50,000 partial prepayment on the outstanding principal amount under the Pharmakon Term Loan. In conjunction with the partial prepayment, the Company incurred a $1,500 prepayment premium and paid $376 of interest accrued through the payment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The following Management</w:t>
      </w:r>
      <w:r>
        <w:rPr>
          <w:color w:val="000000"/>
        </w:rPr>
        <w:t>’</w:t>
      </w:r>
      <w:r>
        <w:rPr>
          <w:rFonts w:ascii="Times New Roman;serif" w:hAnsi="Times New Roman;serif"/>
          <w:b w:val="false"/>
          <w:i/>
          <w:color w:val="000000"/>
          <w:sz w:val="20"/>
        </w:rPr>
        <w:t>s Discussion and Analysis (</w:t>
      </w:r>
      <w:r>
        <w:rPr>
          <w:color w:val="000000"/>
        </w:rPr>
        <w:t>“</w:t>
      </w:r>
      <w:r>
        <w:rPr>
          <w:rFonts w:ascii="Times New Roman;serif" w:hAnsi="Times New Roman;serif"/>
          <w:b w:val="false"/>
          <w:i/>
          <w:color w:val="000000"/>
          <w:sz w:val="20"/>
        </w:rPr>
        <w:t>MD&amp;A</w:t>
      </w:r>
      <w:r>
        <w:rPr>
          <w:color w:val="000000"/>
        </w:rPr>
        <w:t>”</w:t>
      </w:r>
      <w:r>
        <w:rPr>
          <w:rFonts w:ascii="Times New Roman;serif" w:hAnsi="Times New Roman;serif"/>
          <w:b w:val="false"/>
          <w:i/>
          <w:color w:val="000000"/>
          <w:sz w:val="20"/>
        </w:rPr>
        <w:t xml:space="preserve">) is intended to help the reader understand our results of operations and financial condition. This MD&amp;A is provided as a supplement to, and should be read in conjunction with, our unaudited condensed consolidated financial statements and the accompanying notes to the financial statements and other disclosures included in this report (including the </w:t>
      </w:r>
      <w:r>
        <w:rPr>
          <w:color w:val="000000"/>
        </w:rPr>
        <w:t>“</w:t>
      </w:r>
      <w:r>
        <w:rPr>
          <w:rFonts w:ascii="Times New Roman;serif" w:hAnsi="Times New Roman;serif"/>
          <w:b w:val="false"/>
          <w:i/>
          <w:color w:val="000000"/>
          <w:sz w:val="20"/>
        </w:rPr>
        <w:t>Cautionary Note Regarding Forward-Looking Statements</w:t>
      </w:r>
      <w:r>
        <w:rPr>
          <w:color w:val="000000"/>
        </w:rPr>
        <w:t xml:space="preserve">” </w:t>
      </w:r>
      <w:r>
        <w:rPr>
          <w:rFonts w:ascii="Times New Roman;serif" w:hAnsi="Times New Roman;serif"/>
          <w:b w:val="false"/>
          <w:i/>
          <w:color w:val="000000"/>
          <w:sz w:val="20"/>
        </w:rPr>
        <w:t xml:space="preserve">at the beginning of this report and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in Part II, Item 1A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global biotechnology company with a deep commitment to improving the lives of people living with hereditary angioedema (“HAE”) and other rare diseases. We leverage our expertise in structure-guided drug design with the goal of developing first-in-class or best-in-class oral small-molecule and injectable protein therapeutics to target difficult-to-treat rare diseases. In addition to our discovery and development efforts, our business strategy includes the successful commercialization of these drugs, as well as self-funding all of these efforts by achieving and increasing profitability. By focusing primarily on rare disease markets, we believe that we can more effectively control the costs of, and our strategic allocation of financial resources toward, post-approval commercialization.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Products and Product Candidates </w:t>
      </w:r>
    </w:p>
    <w:p>
      <w:pPr>
        <w:pStyle w:val="TextBody"/>
        <w:bidi w:val="0"/>
        <w:spacing w:lineRule="auto" w:line="288" w:before="200" w:after="283"/>
        <w:jc w:val="left"/>
        <w:rPr/>
      </w:pPr>
      <w:r>
        <w:rPr>
          <w:rFonts w:ascii="Times New Roman;serif" w:hAnsi="Times New Roman;serif"/>
          <w:b w:val="false"/>
          <w:i/>
          <w:color w:val="000000"/>
          <w:sz w:val="20"/>
        </w:rPr>
        <w:t>ORLADEYO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(berotralstat)</w:t>
      </w:r>
      <w:r>
        <w:rPr>
          <w:color w:val="000000"/>
        </w:rPr>
        <w:t xml:space="preserve">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ORLADEYO is an oral capsule, once-daily therapy discovered and developed by us for the prevention of HAE attacks. ORLADEYO is approved in the United States and other global markets for the prevention of HAE attacks in adults and pediatric patients 12 years and older. In addition, the ongoing APeX-P clinical </w:t>
      </w:r>
      <w:r>
        <w:rPr>
          <w:rFonts w:ascii="Times New Roman;serif" w:hAnsi="Times New Roman;serif"/>
          <w:b w:val="false"/>
          <w:color w:val="000000"/>
          <w:sz w:val="20"/>
          <w:shd w:fill="FFFFFF" w:val="clear"/>
        </w:rPr>
        <w:t>trial, which is complete through the primary endpoint, is continuing to assess an oral granule formulation of O</w:t>
      </w:r>
      <w:r>
        <w:rPr>
          <w:rFonts w:ascii="Times New Roman;serif" w:hAnsi="Times New Roman;serif"/>
          <w:b w:val="false"/>
          <w:color w:val="000000"/>
          <w:sz w:val="20"/>
        </w:rPr>
        <w:t>RLADEYO in pediatric patients who are 2 to 11 years of age at enrollment.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over four years of commercialization experience with ORLADEYO, we anticipate that the global commercial market for ORLADEYO has the potential to reach a global peak of $1 billion in annual net ORLADEYO revenues. We expect approximately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w:t>
      </w:r>
      <w:r>
        <w:rPr>
          <w:rFonts w:ascii="Times New Roman;serif" w:hAnsi="Times New Roman;serif"/>
          <w:b w:val="false"/>
          <w:i/>
          <w:color w:val="000000"/>
          <w:sz w:val="20"/>
        </w:rPr>
        <w:t>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w:t>
      </w:r>
      <w:r>
        <w:rPr>
          <w:color w:val="000000"/>
        </w:rPr>
        <w:t xml:space="preserve">” </w:t>
      </w:r>
      <w:r>
        <w:rPr>
          <w:rFonts w:ascii="Times New Roman;serif" w:hAnsi="Times New Roman;serif"/>
          <w:b w:val="false"/>
          <w:color w:val="000000"/>
          <w:sz w:val="20"/>
        </w:rPr>
        <w:t>in Part II, Item 1A of this report for further discussion of these risks.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Revenue from sales of ORLADEYO for the three and six months ended June 30, 2025 is discussed under “</w:t>
      </w:r>
      <w:r>
        <w:rPr>
          <w:rFonts w:ascii="Times New Roman;serif" w:hAnsi="Times New Roman;serif"/>
          <w:b w:val="false"/>
          <w:i/>
          <w:color w:val="000000"/>
          <w:sz w:val="20"/>
        </w:rPr>
        <w:t>Results of Operations</w:t>
      </w:r>
      <w:r>
        <w:rPr>
          <w:color w:val="000000"/>
        </w:rPr>
        <w:t xml:space="preserve">” </w:t>
      </w:r>
      <w:r>
        <w:rPr>
          <w:rFonts w:ascii="Times New Roman;serif" w:hAnsi="Times New Roman;serif"/>
          <w:b w:val="false"/>
          <w:color w:val="000000"/>
          <w:sz w:val="20"/>
        </w:rPr>
        <w:t>in this MD&amp;A. Revenue from sales of ORLADEYO in future periods is subject to uncertainties and will depend on several factors, including our pending transaction with Neopharmed, as defined and discussed below, for the sale of our European ORLADEYO Business (as described further under “</w:t>
      </w:r>
      <w:r>
        <w:rPr>
          <w:rFonts w:ascii="Times New Roman;serif" w:hAnsi="Times New Roman;serif"/>
          <w:b w:val="false"/>
          <w:i/>
          <w:color w:val="000000"/>
          <w:sz w:val="20"/>
        </w:rPr>
        <w:t>Recent Developments—Neopharmed Gentili S.p.A. Stock Purchase Agreement</w:t>
      </w:r>
      <w:r>
        <w:rPr>
          <w:color w:val="000000"/>
        </w:rPr>
        <w:t xml:space="preserve">” </w:t>
      </w:r>
      <w:r>
        <w:rPr>
          <w:rFonts w:ascii="Times New Roman;serif" w:hAnsi="Times New Roman;serif"/>
          <w:b w:val="false"/>
          <w:color w:val="000000"/>
          <w:sz w:val="20"/>
        </w:rPr>
        <w:t>below),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w:t>
      </w:r>
      <w:r>
        <w:rPr>
          <w:rFonts w:ascii="Times New Roman;serif" w:hAnsi="Times New Roman;serif"/>
          <w:b w:val="false"/>
          <w:color w:val="000000"/>
          <w:sz w:val="20"/>
          <w:shd w:fill="FFFFFF" w:val="clear"/>
        </w:rPr>
        <w:t>yors, the number of patients receiv</w:t>
      </w:r>
      <w:r>
        <w:rPr>
          <w:rFonts w:ascii="Times New Roman;serif" w:hAnsi="Times New Roman;serif"/>
          <w:b w:val="false"/>
          <w:color w:val="000000"/>
          <w:sz w:val="20"/>
        </w:rPr>
        <w:t>ing free product, our pricing strategy, and market trends. We monitor and analyze this data on an ongoing basis as we continue to commercialize ORLADEYO and adjust our forecasts accordingly.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BCX17725 is a potent and selective investigational protein therapeutic KLK5 inhibitor designed to provide best-in-class, potentially disease-modifying, treatment for people with Netherton syndrome. Netherton syndrome is a serious, rare, lifelong genetic disorder causing disruption of the skin barrier with premature separation of the skin layers, chronic inflammation and vulnerability to serious infections, caused by lack of normal function of a natural inhibitor of KLK5. People with Netherton syndrome often have itchy, red, scaly, inflamed skin, fragile hair, and are more likely to develop severe food allergies, asthma and eczema. Netherton syndrome can be life-threatening, especially during infancy when patients are vulnerable to dehydration and recurrent infections. Currently, there are no approved treatments that target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underlying cause of Netherton syndrome. BCX17725 is designed to replace missing functions of the natural KLK5 inhibitor, which could restore the normal skin barrier and result in improved skin function, including protection from severe inflammatory and infectious complications of the disease.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developing our investigational plasma kallikrein inhibitor, avoralstat, with Clearside Biomedical, Inc.’s SCS Microinjector</w:t>
      </w:r>
      <w:r>
        <w:rPr>
          <w:rFonts w:ascii="Times New Roman;serif" w:hAnsi="Times New Roman;serif"/>
          <w:b w:val="false"/>
          <w:color w:val="000000"/>
          <w:sz w:val="13"/>
        </w:rPr>
        <w:t xml:space="preserve">® </w:t>
      </w:r>
      <w:r>
        <w:rPr>
          <w:rFonts w:ascii="Times New Roman;serif" w:hAnsi="Times New Roman;serif"/>
          <w:b w:val="false"/>
          <w:color w:val="000000"/>
          <w:sz w:val="20"/>
        </w:rPr>
        <w:t>to deliver avoralstat to the back of the eye through the suprachoroidal space to treat patients with diabetic macular edema (“DME”). DME is an important cause of vision loss in diabetes and is due to leakage of fluid from the blood vessels in the retina. While current treatments focus on vascular endothelial growth factor (“VEGF”) inhibition, DME can develop from other mechanisms, such as the kallikrein-bradykinin pathway. This is supported by observations that many DME patients have an incomplete response to intravitreal anti-VEGF therapies that are administered every four to eight weeks. Avoralstat targets the kallikrein-bradykinin system on the retinal vascular endothelial cells and may result in less vascular leakage and less edema. Avoralstat, delivered to the suprachoroidal space, is designed to provide long-lasting exposure to the retinal vessels, which could result in less frequent injections and a reduced burden on patients and the healthcare system.</w:t>
      </w:r>
    </w:p>
    <w:p>
      <w:pPr>
        <w:pStyle w:val="TextBody"/>
        <w:bidi w:val="0"/>
        <w:spacing w:lineRule="auto" w:line="288" w:before="200" w:after="283"/>
        <w:jc w:val="left"/>
        <w:rPr/>
      </w:pPr>
      <w:r>
        <w:rPr>
          <w:rFonts w:ascii="Times New Roman;serif" w:hAnsi="Times New Roman;serif"/>
          <w:b w:val="false"/>
          <w:i/>
          <w:color w:val="000000"/>
          <w:sz w:val="20"/>
        </w:rPr>
        <w:t>Complement Program</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goal of our overall complement program is to advance first-in-class and/or best-in-class compounds across multiple pathways in the complement system to treat complement-mediated diseases. We are pursuing oral medicines and protein therapeutics directed at targets across the classical, lectin, terminal, and alternative pathways of the complement system, including the therapies listed below. </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 xml:space="preserve">Oral C5 Inhibitor. </w:t>
      </w:r>
      <w:r>
        <w:rPr>
          <w:rFonts w:ascii="Times New Roman;serif" w:hAnsi="Times New Roman;serif"/>
          <w:b w:val="false"/>
          <w:color w:val="000000"/>
          <w:sz w:val="20"/>
        </w:rPr>
        <w:t>We are developing an oral C5 inhibitor that could be the first targeted oral therapy with competitive efficacy to currently-approved injected and infused anti-C5 therapies, such as eculizumab and ravulizumab. A drug with this profile could enable patients to switch from infused therapy and address their disease earlier in the treatment paradigm.</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Oral C2 Inhibitor</w:t>
      </w:r>
      <w:r>
        <w:rPr>
          <w:rFonts w:ascii="Times New Roman;serif" w:hAnsi="Times New Roman;serif"/>
          <w:b w:val="false"/>
          <w:color w:val="000000"/>
          <w:sz w:val="20"/>
        </w:rPr>
        <w:t>. We are developing a classical and lectin pathway complement inhibitor. An oral C2 inhibitor developed by us could be first-in-class and allow patients to switch from infused therapy and address their disease earlier in the treatment paradigm.</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Bifunctional Complement Inhibitor</w:t>
      </w:r>
      <w:r>
        <w:rPr>
          <w:rFonts w:ascii="Times New Roman;serif" w:hAnsi="Times New Roman;serif"/>
          <w:b w:val="false"/>
          <w:color w:val="000000"/>
          <w:sz w:val="20"/>
        </w:rPr>
        <w:t>. We are developing a bifunctional complement inhibitor anti-C2 monoclonal antibody that could be a first-in-class combined inhibitor of the classical, lectin and alternative pathways of the complement system to treat complex complement-mediated diseases that are influenced by multiple complement pathways.</w:t>
      </w:r>
    </w:p>
    <w:p>
      <w:pPr>
        <w:pStyle w:val="TextBody"/>
        <w:bidi w:val="0"/>
        <w:spacing w:lineRule="auto" w:line="288" w:before="200" w:after="283"/>
        <w:jc w:val="left"/>
        <w:rPr/>
      </w:pPr>
      <w:r>
        <w:rPr>
          <w:rFonts w:ascii="Times New Roman;serif" w:hAnsi="Times New Roman;serif"/>
          <w:b w:val="false"/>
          <w:i/>
          <w:color w:val="000000"/>
          <w:sz w:val="20"/>
        </w:rPr>
        <w:t>RAPIVAB</w:t>
      </w:r>
      <w:r>
        <w:rPr>
          <w:rFonts w:ascii="Times New Roman;serif" w:hAnsi="Times New Roman;serif"/>
          <w:b w:val="false"/>
          <w:color w:val="000000"/>
          <w:sz w:val="20"/>
        </w:rPr>
        <w:t>®</w:t>
      </w:r>
      <w:r>
        <w:rPr>
          <w:rFonts w:ascii="Times New Roman;serif" w:hAnsi="Times New Roman;serif"/>
          <w:b w:val="false"/>
          <w:i/>
          <w:color w:val="000000"/>
          <w:sz w:val="20"/>
        </w:rPr>
        <w:t>/RAPIACTA</w:t>
      </w:r>
      <w:r>
        <w:rPr>
          <w:rFonts w:ascii="Times New Roman;serif" w:hAnsi="Times New Roman;serif"/>
          <w:b w:val="false"/>
          <w:color w:val="000000"/>
          <w:sz w:val="20"/>
        </w:rPr>
        <w:t>®</w:t>
      </w:r>
      <w:r>
        <w:rPr>
          <w:rFonts w:ascii="Times New Roman;serif" w:hAnsi="Times New Roman;serif"/>
          <w:b w:val="false"/>
          <w:i/>
          <w:color w:val="000000"/>
          <w:sz w:val="20"/>
        </w:rPr>
        <w:t>/PERAMIFLU</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(peramivir injection)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RAPIVAB (peramivir injection) is approved in the United States for the treatment of acute uncomplicated influenza for patients six months and older. Since the 2009 H1N1 pandemic, RAPIVAB has been an important component of the U.S. Government’s influenza preparedness efforts. Peramivir injection is also approved in Canada (RAPIVAB), Australia (RAPIVAB), Japan (RAPIACTA), Taiwan (RAPIACTA), and Korea (PERAMIFLU).</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Revenues and Expenses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revenues are difficult to predict and depend on several factors, including those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section in Part II,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operating expenses are also difficult to predict and depend on several factors, including research and development expenses, drug manufacturing, clinical research activities, the ongoing requirements of our development programs, the costs of commercialization, and direction from regulatory agencies, which are difficult to predict, and the factors discussed in the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section in Part II,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Developments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ORLADEYO (berotralstat)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5, 2025, we announced that the percentage of U.S. HAE patients who describe a strong preference for an oral prophylaxis therapy increased to 70 percent, up from 50 percent in 2023, in our latest market survey of HAE patients.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5, 2025, we announced that we submitted a new drug application (“NDA”) to the U.S. Food and Drug Administration (“FDA”) to expand the ORLADEYO label to children with HAE aged 2 to 11 using an oral granule formulation. We also announced our expectation to submit regulatory filings in 2025 in global territories, including Europe, Japan and Canada. ORLADEYO would be the first targeted oral prophylactic therapy for children with HAE.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On May 14, 2025, we announced that the FDA accepted our NDA for the use of ORLADEYO in pediatric patients with HAE aged 2 to 11 years. In addition, we announced that the FDA granted priority review of our NDA, with a Prescription Drug User Fee Act (“PDUFA”) target action date of September 12, 2025. We also announced that we filed a line extension application for the use of ORLADEYO oral granules in patients with HAE aged 2 to 11 years with the European Medicines Agency. On June 23, 2025, the FDA extended the PDUFA goal date for our NDA for the use of once-daily ORLADEYO oral granules in pediatric patients with HAE aged 2 to 11 years due to our submission of additional</w:t>
      </w:r>
      <w:r>
        <w:rPr>
          <w:color w:val="000000"/>
        </w:rPr>
        <w:t xml:space="preserve"> </w:t>
      </w:r>
      <w:r>
        <w:rPr>
          <w:rFonts w:ascii="Times New Roman;serif" w:hAnsi="Times New Roman;serif"/>
          <w:b w:val="false"/>
          <w:color w:val="000000"/>
          <w:sz w:val="20"/>
          <w:shd w:fill="FFFFFF" w:val="clear"/>
        </w:rPr>
        <w:t>final reports and formulation data, which resulted in a standard three-month extension to the original goal date to provide time for a full review of the submission. The new PDUFA target action date for our NDA is December 12, 2025.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16, 2025, we announced new real-world evidence on the use of ORLADEYO in adolescents and people with severe HAE showing significant and sustained reductions in HAE attack rates through 18 months of follow-up after beginning treatment with ORLADEYO in both patient populations.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May 30, 2025, we announced new data highlighting the reduction in the percentage of days with HAE symptoms among young children initiating berotralstat in our APeX-P trial. We also announced the broad safety and efficacy outcomes observed across all age groups of patients taking ORLADEYO to prevent HAE attacks.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6, 2025, we announced that, following a positive recommendation from the Zorginstituut Nederland, ORLADEYO was approved in the Netherlands for the routine prevention of HAE attacks in patients aged 12 years and older. We also announced that this reimbursement approval in the Netherlands marks national reimbursement for ORLADEYO across all major European countries, providing HAE patients with access to the first oral, once-daily preventive therapy.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13, 2025, we announced that the National Institute of Drug and Food Surveillance in Colombia granted approval for ORLADEYO for the prophylaxis of HAE attacks in adults and pediatric patients 12 years of age or older. We have an exclusive collaboration with Pint Pharma GmbH (“Pint Pharma”) to register and promote ORLADEYO in the pan-Latin America region. Under the terms of the agreement, Pint Pharma is responsible for obtaining and maintaining all marketing authorizations and for commercializing ORLADEYO in the region.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16, 2025, we announced new data on the long-term efficacy and safety of ORLADEYO for the prophylactic treatment of HAE in patients across all age groups, demonstrating sustained reductions in HAE attacks and consistent safety profile.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4, 2025, we announced that new real-world data from over 350 patients with HAE with normal C1 inhibitor showed substantial reductions in attack rates with ORLADEYO, which we believe reinforces its value for a historically underserved patient segment and provides strong evidence to close gaps in both treatment and reimbursement.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BCX17725 (Netherton syndrome)</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On May 5, 2025, we announced that the FDA has cleared our investigational new drug application, which will enable our clinical trial of BCX17725 to enroll patients in the United States. This phase 1 trial is also open in Australia.</w:t>
      </w:r>
      <w:r>
        <w:rPr>
          <w:color w:val="000000"/>
        </w:rPr>
        <w:t xml:space="preserve"> </w:t>
      </w:r>
      <w:r>
        <w:rPr>
          <w:rFonts w:ascii="Times New Roman;serif" w:hAnsi="Times New Roman;serif"/>
          <w:b w:val="false"/>
          <w:color w:val="000000"/>
          <w:sz w:val="20"/>
          <w:shd w:fill="FFFFFF" w:val="clear"/>
        </w:rPr>
        <w:t xml:space="preserv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addition, on July 30, 2025, we were notified that the FDA has granted Fast Track designation for BCX17725 for the treatment of Netherton syndrome. </w:t>
      </w:r>
      <w:r>
        <w:rPr>
          <w:rFonts w:ascii="Times New Roman;serif" w:hAnsi="Times New Roman;serif"/>
          <w:b w:val="false"/>
          <w:color w:val="000000"/>
          <w:sz w:val="20"/>
        </w:rPr>
        <w:t>On August 4, 2025, we announced that we continue to expect initial data from the program by the end of the year.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Avoralstat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On May 5, 2025, we announced that the first clinical trial with suprachoroidal delivery of avoralstat was granted authorization to proceed in Australia</w:t>
      </w:r>
      <w:r>
        <w:rPr>
          <w:rFonts w:ascii="Times New Roman;serif" w:hAnsi="Times New Roman;serif"/>
          <w:b w:val="false"/>
          <w:color w:val="000000"/>
          <w:sz w:val="20"/>
        </w:rPr>
        <w:t>. On August 4, 2025, we announced that we continue to expect initial data from this program by the end of the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Pharmakon Loan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April 18, 2025, we made a partial prepayment of $75.0 million of the outstanding principal amount under the Pharmakon Loan Agreement.</w:t>
      </w:r>
      <w:r>
        <w:rPr>
          <w:color w:val="000000"/>
          <w:shd w:fill="FFFFFF" w:val="clear"/>
        </w:rPr>
        <w:t xml:space="preserve"> </w:t>
      </w:r>
      <w:r>
        <w:rPr>
          <w:rFonts w:ascii="Times New Roman;serif" w:hAnsi="Times New Roman;serif"/>
          <w:b w:val="false"/>
          <w:color w:val="000000"/>
          <w:sz w:val="20"/>
          <w:shd w:fill="FFFFFF" w:val="clear"/>
        </w:rPr>
        <w:t xml:space="preserve">On July 24, 2025, we made an additional partial prepayment of </w:t>
      </w:r>
      <w:r>
        <w:rPr>
          <w:rFonts w:ascii="Times New Roman;serif" w:hAnsi="Times New Roman;serif"/>
          <w:b w:val="false"/>
          <w:color w:val="000000"/>
          <w:sz w:val="20"/>
        </w:rPr>
        <w:t>$50.0 million</w:t>
      </w:r>
      <w:r>
        <w:rPr>
          <w:color w:val="000000"/>
          <w:shd w:fill="FFFFFF" w:val="clear"/>
        </w:rPr>
        <w:t xml:space="preserve"> </w:t>
      </w:r>
      <w:r>
        <w:rPr>
          <w:rFonts w:ascii="Times New Roman;serif" w:hAnsi="Times New Roman;serif"/>
          <w:b w:val="false"/>
          <w:color w:val="000000"/>
          <w:sz w:val="20"/>
          <w:shd w:fill="FFFFFF" w:val="clear"/>
        </w:rPr>
        <w:t>of the outstanding principal amount under the Pharmakon Loan Agreement.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Neopharmed Gentili S.p.A. Stock Purchase Agreement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27, 2025, we entered into a stock purchase agreement (the “Stock Purchase Agreement”) with BioCryst Ireland Limited (“BioCryst Ireland”), a private limited company incorporated under the laws of Ireland and a wholly owned subsidiary of the Company, and Neopharmed Gentili S.p.A., a corporation organized under the laws of Italy (“Neopharmed”).</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Under the terms of the Stock Purchase Agreement, we have agreed to sell to Neopharmed all of our equity interests in BioCryst Ireland, which, together with its subsidiaries, holds certain assets, rights, and employees related to our European ORLADEYO business (the “European ORLADEYO Business”). Concurrent with the closing of the transactions contemplated by the Purchase Agreement, we and BioCryst Ireland will amend and restate our existing intellectual property license agreement pursuant to which we will continue to grant to BioCryst Ireland certain rights with respect to ORLADEYO in the territory (the “IP License Agreement”). The terms of the IP License Agreement may also extend to the pediatric line extension of ORLADEYO, subject to certain regulatory approvals. Upon closing of the transaction, Neopharmed will pay us </w:t>
      </w:r>
      <w:r>
        <w:rPr>
          <w:rFonts w:ascii="Times New Roman;serif" w:hAnsi="Times New Roman;serif"/>
          <w:b w:val="false"/>
          <w:color w:val="000000"/>
          <w:sz w:val="20"/>
        </w:rPr>
        <w:t>$250.0 million</w:t>
      </w:r>
      <w:r>
        <w:rPr>
          <w:color w:val="000000"/>
          <w:shd w:fill="FFFFFF" w:val="clear"/>
        </w:rPr>
        <w:t xml:space="preserve"> </w:t>
      </w:r>
      <w:r>
        <w:rPr>
          <w:rFonts w:ascii="Times New Roman;serif" w:hAnsi="Times New Roman;serif"/>
          <w:b w:val="false"/>
          <w:color w:val="000000"/>
          <w:sz w:val="20"/>
          <w:shd w:fill="FFFFFF" w:val="clear"/>
        </w:rPr>
        <w:t xml:space="preserve">in cash, subject to customary purchase price adjustments. In addition, Neopharmed has agreed to pay us up to </w:t>
      </w:r>
      <w:r>
        <w:rPr>
          <w:rFonts w:ascii="Times New Roman;serif" w:hAnsi="Times New Roman;serif"/>
          <w:b w:val="false"/>
          <w:color w:val="000000"/>
          <w:sz w:val="20"/>
        </w:rPr>
        <w:t>$14.0 million</w:t>
      </w:r>
      <w:r>
        <w:rPr>
          <w:color w:val="000000"/>
          <w:shd w:fill="FFFFFF" w:val="clear"/>
        </w:rPr>
        <w:t xml:space="preserve"> </w:t>
      </w:r>
      <w:r>
        <w:rPr>
          <w:rFonts w:ascii="Times New Roman;serif" w:hAnsi="Times New Roman;serif"/>
          <w:b w:val="false"/>
          <w:color w:val="000000"/>
          <w:sz w:val="20"/>
          <w:shd w:fill="FFFFFF" w:val="clear"/>
        </w:rPr>
        <w:t>if certain revenue milestones are achieved prior to December 31, 2032</w:t>
      </w:r>
      <w:r>
        <w:rPr>
          <w:rFonts w:ascii="Times New Roman;serif" w:hAnsi="Times New Roman;serif"/>
          <w:b w:val="false"/>
          <w:color w:val="000000"/>
          <w:sz w:val="20"/>
        </w:rPr>
        <w:t>. Neopharmed will also pay a $15.0 million royalty release fee to RPI 2019 Intermediate Finance Trust. T</w:t>
      </w:r>
      <w:r>
        <w:rPr>
          <w:rFonts w:ascii="Times New Roman;serif" w:hAnsi="Times New Roman;serif"/>
          <w:b w:val="false"/>
          <w:color w:val="000000"/>
          <w:sz w:val="20"/>
          <w:shd w:fill="FFFFFF" w:val="clear"/>
        </w:rPr>
        <w:t>he transaction is expected to close in October 2025, and we plan to use the proceeds from the transaction to retire all remaining outstanding term debt under the Pharmakon Loan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Leadership Changes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July 31, 2025, we announced that our President and Chief Executive Officer, Jon Stonehouse, had informed the Board of Directors of his intention to retire on December 31, 2025. The Board appointed Charlie Gayer, the Company’s Chief Commercial Officer, as the Company’s next President, effective August 1, 2025, and the next Chief Executive Officer, effective January 1, 2026. In addition, on July 7, 2025, we announced the appointment of Babar Ghias as the Company’s Chief Financial Officer and Head of Corporate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(three months ended June 30, 2025 compared to the three months ended June 30,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total revenues were $163.4 million compared to $109.3 million for the three months ended June 30, 2024. The increase in total revenues was due to a $48.6 million increase in ORLADEYO net revenue, excluding royalties, primarily due to an increase in direct sales of ORLADEYO due to an increase in volume, which was driven by strong patient demand, and an increase in the rate of paid shipments. The increase in total revenues was also due to an increase in other revenues of $5.5 million, primarily due to an increase in direct sales of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for the three months ended June 30, 2025 and 2024 was $2.8 million and $1.7 million, respectively. The increase in cost of product sales was primarily due to the increase in peramivir sales and an increase in inventory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indicated (in thousands). Certain prior period amounts have been reclassified for consistency with the current year presentation. These reclassifications had no effect on the total research and development expenses.</w:t>
      </w:r>
    </w:p>
    <w:tbl>
      <w:tblPr>
        <w:tblW w:w="6805" w:type="dxa"/>
        <w:jc w:val="left"/>
        <w:tblInd w:w="0" w:type="dxa"/>
        <w:tblLayout w:type="fixed"/>
        <w:tblCellMar>
          <w:top w:w="28" w:type="dxa"/>
          <w:left w:w="28" w:type="dxa"/>
          <w:bottom w:w="28" w:type="dxa"/>
          <w:right w:w="28" w:type="dxa"/>
        </w:tblCellMar>
      </w:tblPr>
      <w:tblGrid>
        <w:gridCol w:w="1501"/>
        <w:gridCol w:w="1316"/>
        <w:gridCol w:w="1323"/>
        <w:gridCol w:w="229"/>
        <w:gridCol w:w="784"/>
        <w:gridCol w:w="118"/>
        <w:gridCol w:w="118"/>
        <w:gridCol w:w="118"/>
        <w:gridCol w:w="118"/>
        <w:gridCol w:w="229"/>
        <w:gridCol w:w="784"/>
        <w:gridCol w:w="167"/>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by program:</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preclinical and development costs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43,386 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37,623 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shd w:fill="FFFFFF" w:val="clear"/>
        </w:rPr>
        <w:t>Research and development expenses increased to $43.4 million for the three months ended June 30, 2025 from $37.6 million for t</w:t>
      </w:r>
      <w:r>
        <w:rPr>
          <w:rFonts w:ascii="Times New Roman;serif" w:hAnsi="Times New Roman;serif"/>
          <w:b w:val="false"/>
          <w:color w:val="000000"/>
          <w:sz w:val="20"/>
        </w:rPr>
        <w:t>he three months ended June 30, 2024,</w:t>
      </w:r>
      <w:r>
        <w:rPr>
          <w:color w:val="000000"/>
          <w:shd w:fill="FFFFFF" w:val="clear"/>
        </w:rPr>
        <w:t xml:space="preserve"> </w:t>
      </w:r>
      <w:r>
        <w:rPr>
          <w:rFonts w:ascii="Times New Roman;serif" w:hAnsi="Times New Roman;serif"/>
          <w:b w:val="false"/>
          <w:color w:val="000000"/>
          <w:sz w:val="20"/>
          <w:shd w:fill="FFFFFF" w:val="clear"/>
        </w:rPr>
        <w:t xml:space="preserve">primarily due to an increase in preclinical and early clinical work for avoralstat, BCX17725, and early-phase pipeline programs, primarily due to investigational new drug application-enabling activities. </w:t>
      </w:r>
      <w:r>
        <w:rPr>
          <w:rFonts w:ascii="Times New Roman;serif" w:hAnsi="Times New Roman;serif"/>
          <w:b w:val="false"/>
          <w:color w:val="000000"/>
          <w:sz w:val="20"/>
        </w:rPr>
        <w:t xml:space="preserve">Further, there was an increase in stock-based compensation expense as a result of the retirement policy adopted in July 2024 and an increase in restricted stock unit awards granted. </w:t>
      </w:r>
      <w:r>
        <w:rPr>
          <w:rFonts w:ascii="Times New Roman;serif" w:hAnsi="Times New Roman;serif"/>
          <w:b w:val="false"/>
          <w:color w:val="000000"/>
          <w:sz w:val="20"/>
          <w:shd w:fill="FFFFFF" w:val="clear"/>
        </w:rPr>
        <w:t>These increases were partially offset by the discontinuation and close-out of the Factor D programs, and a decrease in berotralstat-related regulatory, safety and quality expenses as efforts shifted to selling, general, and administrative related activities, reflecting the program’s commercial progression.</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include all direct and indirect expenses relating to research and development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Selling, general and administrative expenses for the three months ended June 30, 2025 were $87.4 million compared to $61.2 million for the three months ended June 30, 2024. </w:t>
      </w:r>
      <w:r>
        <w:rPr>
          <w:rFonts w:ascii="Aptos;san-serif" w:hAnsi="Aptos;san-serif"/>
          <w:b w:val="false"/>
          <w:color w:val="000000"/>
          <w:sz w:val="20"/>
        </w:rPr>
        <w:t>T</w:t>
      </w:r>
      <w:r>
        <w:rPr>
          <w:rFonts w:ascii="Times New Roman;serif" w:hAnsi="Times New Roman;serif"/>
          <w:b w:val="false"/>
          <w:color w:val="000000"/>
          <w:sz w:val="20"/>
        </w:rPr>
        <w:t>his increase was primarily driven by $5.9 million of transaction costs related to the sale of our European ORLADEYO Business to Neopharmed, an increase in stock-based compensation expense as a result of the retirement policy adopted in July 2024 and an increase in restricted stock unit awards granted. Further, there was an increase in ORLADEYO related regulatory, safety and quality activities as efforts shifted from development to supporting commercial products, reflecting the program’s commercial progression, as well as increases in variable costs driven by the increase in ORLADEYO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2025 was $21.6 million compared to $24.7 million for the three months ended June 30, 2024. Interest expense is primarily comprised of non-cash interest expense due to the amortization of interest associated with the royalty financing obligations and interest expense associated with the borrowings under the Pharmakon Loan Agreement (as defined below), including the amortization of the deferred financing costs, associated with the borrowings under the Pharmakon Loan. The decrease in interest expense was primarily the result of the $75.0 million partial prepayment on the outstanding principal amount under the Pharmakon Term Loan in April 2025, and a decrease in the effective interest rate related to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interest income was $2.5 million compared to $3.6 million for the three months ended June 30, 2024. Net foreign currency losses were less than $0.1 million for the three months ended June 30, 2025 and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2025, the Company made a $75.0 million partial prepayment on the outstanding principal amount under the Pharmakon Term Loan resulting in a one-time loss on extinguishment of debt of $4.2 million for the three months ended June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income tax expense was $1.4 million compared to $0.2 million for the three months ended June 30, 2024. The increase in income tax expense was primarily driven by the increase in net income for the three months ended June 30, 2025 compared to the net loss incurred in the three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(six months ended June 30, 2025 compared to the six months ended June 30, 2024)</w:t>
      </w:r>
    </w:p>
    <w:p>
      <w:pPr>
        <w:pStyle w:val="TextBody"/>
        <w:bidi w:val="0"/>
        <w:spacing w:lineRule="auto" w:line="288" w:before="200" w:after="283"/>
        <w:ind w:left="0" w:right="0" w:firstLine="540"/>
        <w:jc w:val="left"/>
        <w:rPr/>
      </w:pPr>
      <w:r>
        <w:rPr>
          <w:rFonts w:ascii="Times New Roman;serif" w:hAnsi="Times New Roman;serif"/>
          <w:b w:val="false"/>
          <w:color w:val="000000"/>
          <w:sz w:val="20"/>
        </w:rPr>
        <w:t>For the</w:t>
      </w:r>
      <w:r>
        <w:rPr>
          <w:color w:val="000000"/>
        </w:rPr>
        <w:t xml:space="preserve"> </w:t>
      </w:r>
      <w:r>
        <w:rPr>
          <w:rFonts w:ascii="Times New Roman;serif" w:hAnsi="Times New Roman;serif"/>
          <w:b w:val="false"/>
          <w:color w:val="000000"/>
          <w:sz w:val="20"/>
        </w:rPr>
        <w:t>six months ended June 30, 2025, total revenues were $308.9 million compared to $202.1 million for the</w:t>
      </w:r>
      <w:r>
        <w:rPr>
          <w:color w:val="000000"/>
        </w:rPr>
        <w:t xml:space="preserve"> </w:t>
      </w:r>
      <w:r>
        <w:rPr>
          <w:rFonts w:ascii="Times New Roman;serif" w:hAnsi="Times New Roman;serif"/>
          <w:b w:val="false"/>
          <w:color w:val="000000"/>
          <w:sz w:val="20"/>
        </w:rPr>
        <w:t>six months ended June 30, 2024. The increase in total revenues was due to a $93.9 million increase in ORLADEYO net revenue, excluding royalties, primarily due to an increase in direct sales of ORLADEYO due to both an increase in volume, was driven by strong patient demand and an increase in the rate of paid shipments, and an increase in price. The increase in total revenues was also due to an increase in other revenues of $12.9 million, primarily due to an increase in direct sales of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product sales for the six months ended June 30, 2025 and 2024 was $7.4 million and $3.0 million, respectively. The increase in cost of product sales was primarily due to the increase in peramivir and ORLADEYO sales, and an increase in inventory reserves.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research and development expenses for the periods indicated (in thousands):</w:t>
      </w:r>
    </w:p>
    <w:tbl>
      <w:tblPr>
        <w:tblW w:w="6594" w:type="dxa"/>
        <w:jc w:val="left"/>
        <w:tblInd w:w="0" w:type="dxa"/>
        <w:tblLayout w:type="fixed"/>
        <w:tblCellMar>
          <w:top w:w="28" w:type="dxa"/>
          <w:left w:w="28" w:type="dxa"/>
          <w:bottom w:w="28" w:type="dxa"/>
          <w:right w:w="28" w:type="dxa"/>
        </w:tblCellMar>
      </w:tblPr>
      <w:tblGrid>
        <w:gridCol w:w="1501"/>
        <w:gridCol w:w="1316"/>
        <w:gridCol w:w="1323"/>
        <w:gridCol w:w="211"/>
        <w:gridCol w:w="721"/>
        <w:gridCol w:w="109"/>
        <w:gridCol w:w="109"/>
        <w:gridCol w:w="109"/>
        <w:gridCol w:w="109"/>
        <w:gridCol w:w="211"/>
        <w:gridCol w:w="721"/>
        <w:gridCol w:w="154"/>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by program:</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Berotralstat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 D Program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BCX17725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Avoralstat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research, preclinical and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Research and development expenses decreased to $80.7 million for the six months ended June 30, 2025 from $84.1 million for the six months ended June 30, 2024, primarily due to a decrease in Factor D program expenses </w:t>
      </w:r>
      <w:r>
        <w:rPr>
          <w:rFonts w:ascii="Times New Roman;serif" w:hAnsi="Times New Roman;serif"/>
          <w:b w:val="false"/>
          <w:color w:val="000000"/>
          <w:sz w:val="20"/>
          <w:shd w:fill="FFFFFF" w:val="clear"/>
        </w:rPr>
        <w:t>attributed to the discontinuation and close-out of the Factor D programs, a decrease in berotralstat-related regulatory, safety and quality expenses as efforts shifted to selling, general, and administrative related activities, reflecting the program’s commercial progression, and a change in general and administrative expense allocations</w:t>
      </w:r>
      <w:r>
        <w:rPr>
          <w:rFonts w:ascii="Times New Roman;serif" w:hAnsi="Times New Roman;serif"/>
          <w:b w:val="false"/>
          <w:color w:val="000000"/>
          <w:sz w:val="20"/>
        </w:rPr>
        <w:t>. These reductions were partially offset by increased spending on preclinical and early clinical work for avoralstat, BCX17725, and early-phase pipeline programs, primarily due to investigational new drug application-enabling activities. Further, there was an increase in stock-based compensation expense as a result of the retirement policy adopted in July 2024 and an increase in restricted stock unit awards granted.</w:t>
      </w:r>
    </w:p>
    <w:p>
      <w:pPr>
        <w:pStyle w:val="TextBody"/>
        <w:bidi w:val="0"/>
        <w:spacing w:lineRule="auto" w:line="288" w:before="200" w:after="283"/>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Research and development expenses include all direct and indirect expenses relating to research and development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research and development personnel and costs of outside parties to conduct laboratory studies, develop manufacturing processes and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expenses consist of lab supplies and services, facility expenses, depreciation of development equipment and other overhead of our research and development efforts. Research and development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June 30, 2025 were $169.9 million compared to $120.7 million for the six months ended June 30, 2024. The increase was primarily driven by $6.4 million of transaction costs related to the sale of our European ORLADEYO Business, an increase from a change in general and administrative expense allocations, an increase in stock-based compensation expense as a result of the retirement policy adopted in July 2024 and an increase in restricted stock unit awards granted. Further, there was an increase in ORLADEYO related regulatory, safety and quality activities as efforts shifted from development to supporting commercial products, reflecting the program’s commercial progression, as well as increases in variable costs driven by the increase in ORLADEYO sales.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2025 was $45.1 million compared to $49.2 million for the six months ended June 30, 2024. Interest expense is primarily comprised of non-cash interest expense due to the amortization of interest associated with the royalty financing obligations and interest expense associated with the borrowings under the Pharmakon Loan Agreement (as defined below), including the amortization of the deferred financing costs, associated with the borrowings under the Pharmakon Loan. The decrease in interest expense was primarily the result of the $75.0 million partial prepayment on the outstanding principal amount under the Pharmakon Term Loan in April 2025, and the decrease in the effective interest rate related to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2025, interest income was $5.5 million compared to $7.6 million for the six months ended June 30, 2024. The decrease in interest income was primarily the result of an overall decrease in our investment portfolio. Net foreign currency losses were less than $0.1 million for the six months ended June 30, 2025 compared to losses of $0.1 million for the six months ended June 30, 2024.</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April 2025, the Company made a $75.0 million partial prepayment on the outstanding principal amount under the Pharmakon Term Loan resulting in a one-time loss on extinguishment of debt of $4.2 million for the six months ended June 30, 2025.</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income tax expense was $2.1 million compared to $0.5 million for the six months ended June 30, 2024. The increase in income tax expense was primarily driven by the increase in net income for the six months ended June 30, 2025 compared to the net loss incurred in the six months ended June 30,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operations have principally been funded through public offerings and private placements of equity securities; our credit facilities; revenues from ORLADEYO; royalty financing transactions; and cash from collaborative and other research and development agreements, including U.S. Government contracts. In addition to the above, we have received funding from other sources, including other collaborative and other research and development agreements, government grants, research grants, and interest income on our investments.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 xml:space="preserve">On April 17, 2023, we entered into a $450.0 million Loan Agreement (the “Pharmakon Loan Agreement”) with BioPharma Credit Investments V (Master) LP and BPCR Limited Partnership, as lenders, and BioPharma Credit PLC, as collateral agent for the lenders. The Pharmakon Loan Agreement provides for an initial term loan in the principal amount of $300.0 million (the “Tranche A Loan”), which was funded on April 17, 2023. We utilized the proceeds from the Tranche A Loan to repay the approximate $241.8 million of outstanding indebtedness under the then-existing credit facility with Athyrium Opportunities III Co-Invest 1 LP (the “Athyrium Credit Agreement”) and to pay transaction costs and fees, and we used the remaining net proceeds of approximately $25.8 million for other general corporate purposes. The Pharmakon Loan Agreement also provided for three additional term loan tranches in principal amounts of $50.0 million each, which we could have requested, at our option, on or prior to September 30, 2024. We chose not to request any of the additional term loan tranches and the options have now expired. The maturity date of the Pharmakon Loan Agreement is April 17, 2028. On April 18, 2025, we made a partial prepayment of $75.0 million of the outstanding principal amount under the Pharmakon Loan Agreement. </w:t>
      </w:r>
      <w:r>
        <w:rPr>
          <w:rFonts w:ascii="Times New Roman;serif" w:hAnsi="Times New Roman;serif"/>
          <w:b w:val="false"/>
          <w:color w:val="000000"/>
          <w:sz w:val="20"/>
          <w:shd w:fill="FFFFFF" w:val="clear"/>
        </w:rPr>
        <w:t>On July 24, 2025, we made an additional partial prepayment of $50.0 million of the outstanding principal amount under the Pharmakon Loan Agreement. In connection with the closing of the transaction with Neopharmed described above, we plan to use the proceeds from the transaction to retire all remaining outstanding term debt under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Pharmakon Loan Agreement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val="false"/>
          <w:color w:val="000000"/>
          <w:sz w:val="20"/>
        </w:rPr>
        <w:t>agreements; undertake fundamental changes; or amend certain material contracts, among other customary covenants, in each case subject to certain exceptions. These covenants could cause us to be unable to pursue business opportunities that we or our stockholders may consider beneficial without the lenders’ permission or without repaying all obligations outstanding under the Pharmakon Loan Agreement. A breach of any of these covenants could result in an event of default under the Pharmakon Loan Agreement. As of June 30, 2025, we were in compliance with the negative covenants under the Pharmakon Loan Agreement. See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Condensed Consolidated Financial Statements in Part I, Item 1 of this report for additional information about our obligations under the Pharmakon Loan Agreement.</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2020 and 2021, we entered into the Royalty Purchase Agreements (as defined in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Condensed Consolidated Financial Statements in Part I, Item 1 of this report) with RPI 2019 Intermediate Finance Trust (“RPI”) and OCM IP Healthcare Holdings Limited, an affiliate of OMERS Capital Markets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Our required payments to OMERS commenced with the calendar quarter beginning October 1, 2023. See “</w:t>
      </w:r>
      <w:r>
        <w:rPr>
          <w:rFonts w:ascii="Times New Roman;serif" w:hAnsi="Times New Roman;serif"/>
          <w:b w:val="false"/>
          <w:i/>
          <w:color w:val="000000"/>
          <w:sz w:val="20"/>
        </w:rPr>
        <w:t>Note 7—Royalty Financing Obligations</w:t>
      </w:r>
      <w:r>
        <w:rPr>
          <w:color w:val="000000"/>
        </w:rPr>
        <w:t xml:space="preserve">” </w:t>
      </w:r>
      <w:r>
        <w:rPr>
          <w:rFonts w:ascii="Times New Roman;serif" w:hAnsi="Times New Roman;serif"/>
          <w:b w:val="false"/>
          <w:color w:val="000000"/>
          <w:sz w:val="20"/>
        </w:rPr>
        <w:t>in the Notes to Condensed Consolidated Financial Statements in Part I, Item 1 of this report for additional information about these financing transactions.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liquidity at June 30, 2025 were approximately $285.2 million in cash and cash equivalents and available-for-sale investments, of which $15.1 million was considered held for sale as of June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each period presented (in thousands):</w:t>
      </w:r>
    </w:p>
    <w:tbl>
      <w:tblPr>
        <w:tblW w:w="10205" w:type="dxa"/>
        <w:jc w:val="left"/>
        <w:tblInd w:w="0" w:type="dxa"/>
        <w:tblLayout w:type="fixed"/>
        <w:tblCellMar>
          <w:top w:w="28" w:type="dxa"/>
          <w:left w:w="28" w:type="dxa"/>
          <w:bottom w:w="28" w:type="dxa"/>
          <w:right w:w="28" w:type="dxa"/>
        </w:tblCellMar>
      </w:tblPr>
      <w:tblGrid>
        <w:gridCol w:w="2828"/>
        <w:gridCol w:w="2473"/>
        <w:gridCol w:w="2485"/>
        <w:gridCol w:w="196"/>
        <w:gridCol w:w="718"/>
        <w:gridCol w:w="109"/>
        <w:gridCol w:w="109"/>
        <w:gridCol w:w="109"/>
        <w:gridCol w:w="109"/>
        <w:gridCol w:w="196"/>
        <w:gridCol w:w="718"/>
        <w:gridCol w:w="155"/>
      </w:tblGrid>
      <w:tr>
        <w:trPr/>
        <w:tc>
          <w:tcPr>
            <w:tcW w:w="2828" w:type="dxa"/>
            <w:tcBorders/>
            <w:vAlign w:val="center"/>
          </w:tcPr>
          <w:p>
            <w:pPr>
              <w:pStyle w:val="TableContents"/>
              <w:bidi w:val="0"/>
              <w:spacing w:before="0" w:after="283"/>
              <w:jc w:val="left"/>
              <w:rPr>
                <w:sz w:val="4"/>
                <w:szCs w:val="4"/>
              </w:rPr>
            </w:pPr>
            <w:r>
              <w:rPr>
                <w:sz w:val="4"/>
                <w:szCs w:val="4"/>
              </w:rPr>
            </w:r>
          </w:p>
        </w:tc>
        <w:tc>
          <w:tcPr>
            <w:tcW w:w="2473"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w:t>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(55,052)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rates on cash, cash equivalents and restricted cash</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 including cash classified within current assets held for sale</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increase in cash and cash equivalents classified within current assets held for sale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(32,242)</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operating activities of $13.8 million consisted primarily of a net income of $5.1 million and $59.8 million of changes in operating assets and liabilities, primarily due to a decrease in royalty financing obligations and an increase in receivables, offset by $68.4 million of non-cash items, including $26.9 million of non-cash interest expense on royalty financing obligations and $42.7 million of stock-based compensation expense.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net cash used in operating activities of $55.1 million consisted primarily of a net loss of $48.1 million and $66.8 million of changes in operating assets and liabilities, primarily due to a decrease in accounts payable and accrued expenses, a decrease in royalty financing obligations, and an increase in accounts receivable, partially offset by $59.8 million of non-cash items, including $28.5 million in non-cash interest expense on royalty financing obligations and $26.8 million of stock-based compensation expense.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605" cy="14605"/>
                <wp:effectExtent l="0" t="0" r="0" b="0"/>
                <wp:wrapNone/>
                <wp:docPr id="46" name="Frame46"/>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provided by investing activities of $56.2 million primarily related to sales and maturities of investment securities, partially offset by purchases of investment securities.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net cash provided by investing activities of $26.3 million primarily related to maturities of investment securities, partially offset by purchases of investment securities.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net cash used in financing activities of $73.2 million primarily consisted of repayment of Pharmakon term loan principal and related prepayment premium and fees, and principal payments on royalty financing obligations, partially offset by net proceeds from common stock issued under stock-based compensation plans.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net cash used in financing activities of $3.0 million consisted of withholding taxes paid on stock-based awards and principal payments on finance lease liabilities, partially offset by net proceeds from common stock issued under stock-based compensation plans.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Plan of Operation and Future Funding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intend to contain costs and cash flow requirements by closely managing our third-party costs and headcount, leasing scientific equipment and facilities, and contracting with other parties to conduct certain research and development projects. We may incur additional expenses, potentially resulting in significant losses, as we 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or as regulatory exclusivity for our products expires.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we may finance our needs principally from the following: </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existing capital resources and interest earned on that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revenues from product sales;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payments under current or future collaborative and licensing agreements with corporate partners;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lease, royalty, or loan financing;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or private equity and/or debt financing.</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could increase our expenses.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revenues and cash utilization rate could vary significantly depending on many factors, including the development progress of our collaborative agreements for our product candidates, the amount of funding or assistance, if any, we receive from new partnerships with third parties for the development and/or commercialization of our products and product candidates, the amount and timing of funding we receive, if any, from U.S. Government contracts,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expectations for revenue and operating expenses, we believe our financial resources will be sufficient to fund our operations for at least the next 12 months. We have no immediate need to access the capital markets, and we did not draw down the additional debt available to us under the Pharmakon Loan Agreement. Our liquidity needs will be largely determined by the success of operations in regard to the successful commercialization of our products and the future progression of our product candidates. From time to time, we evaluate other opportunities to fund future operations, including: (1) out-licensing rights to certain of our products or product candidates, pursuant to which we would receive cash milestone payments; (2)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overhead structure; and/or (6) securing U.S. Government funding of our programs, including obtaining procurement contracts. We may, in the future,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long-term capital requirements and the adequacy of our available funds will depend upon many factors,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sustained market acceptance of approved products and successful commercialization of such products by either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perform under any government contracts and to receive reimbursement and stockpiling procurement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progress and magnitude of our research, drug discovery and development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existing collaborative relationships;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establish additional collaborative relationships with academic institutions, biotechnology or pharmaceutical companies, and governmental agencies or other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our partners will share in the costs associated with the development of our programs or run the development programs themselves;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negotiate favorable development and marketing strategic alliances for certain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decision to build or expand internal development and commercial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and results of preclinical studies and clinical trials to identify and develop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engage sites and enroll subjects in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products to support our commercial operations and of our product candidates to support our preclinical research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personnel and related costs to support the development and commercialization of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of manufacturing of our drug substance and product candidates required for future NDA filings;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competitive and technological advances;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time and costs involved in obtaining regulatory approvals;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post-approval commitments for ORLADEYO, peramivir, and other products that receive regulatory approval;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involved in all aspects of intellectual property strategy and protection, including the costs involved in preparing, filing, prosecuting, maintaining, defending, and enforcing patent claims.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in the future, be required to raise additional capital to complete the development and commercialization of our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w:t>
      </w:r>
      <w:r>
        <w:rPr>
          <w:rFonts w:ascii="Times New Roman;serif" w:hAnsi="Times New Roman;serif"/>
          <w:b w:val="false"/>
          <w:i/>
          <w:color w:val="000000"/>
          <w:sz w:val="20"/>
        </w:rPr>
        <w:t>Risk Factors—Risks Relating to Our Business—Financial and Liquidity Risks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Risk Factors—Risks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color w:val="000000"/>
        </w:rPr>
        <w:t xml:space="preserve">” </w:t>
      </w:r>
      <w:r>
        <w:rPr>
          <w:rFonts w:ascii="Times New Roman;serif" w:hAnsi="Times New Roman;serif"/>
          <w:b w:val="false"/>
          <w:color w:val="000000"/>
          <w:sz w:val="20"/>
        </w:rPr>
        <w:t xml:space="preserve">in Part II, Item 1A of this report for further discussion of the risks related to obtaining additional capital.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various accounting policies that govern the application of U.S. GAAP, which were utilized in the preparation of our condensed consolidated financial statements. Certain accounting policies involve significant judgments and assumptions by management that have or are reasonably likely to have a material impact on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While our significant accounting policies are more fully described in “</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Condensed Consolidated Financial Statements in Part I, Item 1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Product Sales, Net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principal sources of product sales are sales of ORLADEYO, which we began shipping to patients in December 2020, and sales of peramivir. In the United States, we generally ship ORLADEYO directly to patients through a single specialty pharmacy, which is considered our customer. Outside the United States, we sell ORLADEYO to specialty distributors and to hospitals and pharmacies, which collectively are considered our customers.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for sales when the customer obtains control of the product, which generally occurs upon delivery.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revenue from sales of ORLADEYO is recorded at net selling price (transaction price), which includes reserves for variable consideration such as (i) estimated government rebates, such as Medicaid and Medicare Part D reimbursements, and estimated managed care rebates, (ii) estimated chargebacks, (iii) estimated costs of co-payment assistance programs, and (iv) product returns. These reserves, representing our best estimates of the amount of consideration to which we are entitled based on the terms of the applicable contracts and statutory requirements, are based on the amounts earned or to be claimed on the related sales and are classified as reductions of accounts receivable if no payments are required of us or a current liability if a payment is required of us. Actual amounts of consideration may differ from our estimates. If actual results vary from estimates, these estimates are adjusted, which would affect net product revenue and earnings in the period such variances become known.</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Government and Managed Care Rebates</w:t>
      </w:r>
      <w:r>
        <w:rPr>
          <w:rFonts w:ascii="Times New Roman;serif" w:hAnsi="Times New Roman;serif"/>
          <w:b w:val="false"/>
          <w:color w:val="000000"/>
          <w:sz w:val="20"/>
        </w:rPr>
        <w:t>. We contract with government agencies and managed care organizations or, collectively, third-party payors, 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and (iii) product distribution information obtained from our specialty pharmacy regarding payor mix.</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Chargebacks</w:t>
      </w:r>
      <w:r>
        <w:rPr>
          <w:rFonts w:ascii="Times New Roman;serif" w:hAnsi="Times New Roman;serif"/>
          <w:b w:val="false"/>
          <w:color w:val="000000"/>
          <w:sz w:val="20"/>
        </w:rPr>
        <w:t xml:space="preserve">. Chargebacks are discounts that occur when certain contracted customers, pharmacy benefit managers, insurance companies, and government programs purchase directly from our specialty pharmacy. These customers purchase our product under contracts negotiated between them and our specialty pharmacy. The specialty pharmacy, in turn, charges back to us the difference between the price that the specialty pharmacy paid and the negotiated price paid by the contracted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customers, which may be higher or lower than the specialty pharmacy’s purchase price with us. We estimate chargebacks and adjust gross product revenues and establish a current liability at the time revenues are recognized.</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Co-payment assistance and patient assistance programs</w:t>
      </w:r>
      <w:r>
        <w:rPr>
          <w:rFonts w:ascii="Times New Roman;serif" w:hAnsi="Times New Roman;serif"/>
          <w:b w:val="false"/>
          <w:color w:val="000000"/>
          <w:sz w:val="20"/>
        </w:rPr>
        <w:t>. Patients who have commercial insurance and meet certain eligibility requirements may receive co-payment assistance. Based upon the terms of the program and co-payment assistance utilization reports received from the specialty pharmacy, we estimate the co-payment assistance amounts, which are recorded in the same period in which the related revenue is recognized, resulting in a reduction of product revenue and establishment of a current liability.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pStyle w:val="TextBody"/>
        <w:bidi w:val="0"/>
        <w:spacing w:lineRule="auto" w:line="288" w:before="200" w:after="283"/>
        <w:ind w:left="0" w:right="0" w:firstLine="540"/>
        <w:jc w:val="left"/>
        <w:rPr/>
      </w:pPr>
      <w:r>
        <w:rPr>
          <w:rFonts w:ascii="Times New Roman;serif" w:hAnsi="Times New Roman;serif"/>
          <w:b w:val="false"/>
          <w:i/>
          <w:color w:val="000000"/>
          <w:sz w:val="20"/>
        </w:rPr>
        <w:t>Product returns</w:t>
      </w:r>
      <w:r>
        <w:rPr>
          <w:rFonts w:ascii="Times New Roman;serif" w:hAnsi="Times New Roman;serif"/>
          <w:b w:val="false"/>
          <w:color w:val="000000"/>
          <w:sz w:val="20"/>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Collaborative and Other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collaboration and license agreements with a number of third parties. Our primary sources of revenue from these collaborative and other research and development arrangements are license, service and royalty revenues.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inventory primarily relates to ORLADEYO. Our inventory also includes peramivir.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value our inventory at the lower of cost or estimated net realizable value. We determine the cost of our inventory on a first-in, first-out (FIFO) basis. Raw materials and work-in-process include all inventory costs prior to packaging and labeling, including raw material, active product ingredient, and the drug product. Finished goods include packaged and labeled products. We classify inventory as long-term when consumption or sale of the inventory is not expected to occur within 12 months from the balance sheet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inventory is subject to expiration dating. At each reporting date, we evaluate the carrying value of our inventory and provide valuation reserves for any estimated excess, obsolete, short-dated or unmarketable inventory. In addition, we may experience spoilage of our raw materials and supplies. Our determination that a valuation reserve might be required, in addition to the quantification of such reserve, requires us to utilize significant judgment. Additionally, our inventory is subject to strict quality control and monitoring that is performed throughout the manufacturing process, including release of work-in-process to finished goods. In the event that certain batches or units of product do not meet quality specifications, we will record a write-down of any potential unmarketable inventory to its estimated net realizable value and record the expense as cost of product in the Condensed Consolidated Statements of Comprehensive Income (Loss).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Prior to obtaining initial regulatory approval for an investigational product candidate, we expense costs relating to production of pre-launch inventory as research and development expense in our Condensed Consolidated Statements of Comprehensive Income (Loss) in the period incurred. After regulatory approval has been received, we capitalize inventory costs.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Research and Development Expenses and Related Accruals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include, among other items, personnel costs, including salaries and benefits, manufacturing costs, clinical, regulatory, and toxicology services performed by clinical research organizations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Our research and development costs are charged to expense when incurred. Research and development expenses include all direct and indirect development costs related to the development of our portfolio of product candidates.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we have license agreements with third parties, such as Albert Einstein College of Medicine of Yeshiva University, Industrial Research, Ltd., and the University of Alabama at Birmingham (“UAB”), which require fees related to sublicense agreements. We accrue sublicense expenses as incurred.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group our research and development expenses into two major categories: direct expenses and indirect expenses. Direct expenses consist of compensation for research and development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our discovery research efforts.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process of preparing our consolidated financial statements, we are required to estimate our accrued research and development expenses. This process involves reviewing open contracts and purchase orders, communicating with applicable Company personnel to identify services that have been performed on its behalf and estimating the actual work completed and the associated cost incurred for the service when the Company has not yet been invoiced or otherwise notified of actual cost. The majority of our service providers invoice us monthly in arrears for services performed. We periodically confirm the accuracy of our estimates with the service providers and make adjustments if necessary. When evaluating the adequacy of accrued expenses, we consider facts and circumstances known to us at the time, which can include assumptions such as expected patient enrollment, site activation and estimated project duration. Examples of estimated accrued research and development expenses include (i) fees paid to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terms of our agreements are subject to negotiation, vary from contract to contract and may result in uneven payment flows. Payments under some of these contracts depend on factors such as the successful enrollment of patients and the completion of milestones. We record liabilities under these contractual commitments when we determine an obligation has been incurred, regardless of the timing of the invoice. In expensing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share-based payments, including grants of stock option awards and restricted stock unit awards, are recognized in our Condensed Consolidated Statements of Comprehensive Income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stock price volatility, and the expected term. We utilize the Black-Scholes option-pricing model to value our stock option awards and recognize compensation expense on a straight-line basis over the requisite service period. We reduce stock-based compensation expense for estimated forfeitures. The estimation of share-based payment awards that will ultimately vest requires judgment, and to the extent actual results or updated estimates differ from our current estimates, such amounts will be recorded as a cumulative adjustment in the period estimates are revised. Actual results, and future changes in estimates, may differ substantially from our current estimates.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Expense and Royalty Financing Obligations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royalty financing obligations are eligible to be repaid based on royalties from net sales of ORLADEYO.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liability method is used in our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future earnings in each of the jurisdictions in which we operate and the period over which our deferred tax assets will be recoverable.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account for uncertain tax positions in accordance with U.S. GAAP. Uncertain tax positions are recorded based upon certain recognition and measurement criteria. We re-evaluate uncertain tax positions and consider various factors, including, but not limited to, changes in tax law and the measurement of tax positions taken or expected to be taken in tax returns. We adjust the amount of the liability to reflect any subsequent changes in the relevant facts and circumstances surrounding the uncertain tax positions. We recognize interest and penalties related to income tax matters in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ind w:left="0" w:right="0" w:firstLine="540"/>
        <w:jc w:val="left"/>
        <w:rPr/>
      </w:pPr>
      <w:r>
        <w:rPr>
          <w:color w:val="000000"/>
        </w:rPr>
        <w:t>“</w:t>
      </w:r>
      <w:r>
        <w:rPr>
          <w:rFonts w:ascii="Times New Roman;serif" w:hAnsi="Times New Roman;serif"/>
          <w:b w:val="false"/>
          <w:i/>
          <w:color w:val="000000"/>
          <w:sz w:val="20"/>
        </w:rPr>
        <w:t>Note 1—Significant Accounting Policies and Concentrations of Risk</w:t>
      </w:r>
      <w:r>
        <w:rPr>
          <w:color w:val="000000"/>
        </w:rPr>
        <w:t xml:space="preserve">” </w:t>
      </w:r>
      <w:r>
        <w:rPr>
          <w:rFonts w:ascii="Times New Roman;serif" w:hAnsi="Times New Roman;serif"/>
          <w:b w:val="false"/>
          <w:color w:val="000000"/>
          <w:sz w:val="20"/>
        </w:rPr>
        <w:t>in the Notes to Condensed Consolidated Financial Statements included in Part I, Item 1 of this report discusses accounting pronouncements recently issued or proposed but not yet required to be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interest rate risk on our investment portfolio and borrowings under our Pharmakon Loan Agreement. The Tranche A Loan under the Pharmakon Loan Agreement accrues interest each quarter at a rate equal to the three-month Secured Overnight Financing Rate (“SOFR”), which is capped to be no less than 1.75%, plus 7.00% or,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val="false"/>
          <w:color w:val="000000"/>
          <w:sz w:val="20"/>
        </w:rPr>
        <w:t>each quarterly interest period in which a Pharmakon PIK Interest Payment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was made, SOFR plus 7.25%. Accordingly, increases in interest rates will increase the associated interest payments that we are required to make on the Tranche A Loan. For the three months ended June 30, 2025, interest was accrued at an effective rate of 12.29% on the Tranche A Loan under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invest in marketable securities in accordance with our investment policy. The primary objectives of our investment policy are to preserve capital, maintain proper liquidity to meet operating needs and earn a competitive level of return.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do not use interest rate derivative instruments to manage exposure to interest rate changes. We ensure the safety and preservation of invested principal funds by limiting default risk, market risk and reinvestment risk. We reduce default risk by investing exclusively in investment grade securities.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Most of our revenues and expenses are denominated in U.S. dollars. Our commercial sales in Europe are primarily denominated in Euros and the British Pound, and our royalties from Torii are in Japanese Yen. We also had other transactions denominated in foreign currencies during the six months ended June 30, 2025, primarily related to operations in Europe, contract manufacturing and ex-U.S. clinical trial activities, and we expect to continue to do so. Our limited foreign currency exposure relative to our European operations is to fluctuations in the Euro, British Pound, Swiss Franc, Danish Krone, Swedish Krona, and Norwegian Krone. Additionally, we have operations in Canada and have foreign currency exposure relative to the Canadian Dollar.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that foreign currency transaction gains or losses will be significant at our current level of operations. However, transaction gains or losses may become significant in the future as we continue to expand our operations internationally. We have not engaged in foreign currency hedging during the six months ended June 30, 2025; however, we may do so in the future.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Inflation generally impacts us by potentially increasing our operating expenses, including cost of product sales,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 set of disclosure controls and procedures that are designed to ensure that information relating to the Company required to be disclosed in our periodic filings under the Exchange Act is recorded, processed, summarized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reported in a timely manner under the Exchange Act. We carried out an evaluation, under the supervision and with the participation of management, including our Chief Executive Officer and Chief Financial Officer, of the effectiveness of the design and operation of our disclosure controls and procedures. Based upon that evaluation, the Chief Executive Officer and Chief Financial Officer concluded that, as of June 30, 2025, the Company’s disclosure controls and procedures are effective to ensure that information required to be disclosed by the Company in the reports filed or submitted by it under the Exchange Act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three months ended June 30, 2025 that have materially affected, or are reasonably likely to materially affect, the Company’s internal control over financial reporting.</w:t>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January 2025, we received a Paragraph IV notice of certification (the “Notice Letter”) from Annora Pharma Private Limited (“Annora”) advising that Annora has submitted an Abbreviated New Drug Application (“ANDA”) to the FDA seeking approval to manufacture, use or sell a generic version of ORLADEYO in the United States prior to the expiration of three patents listed in the FDA’s Orange Book: U.S. Patent Nos. 10,662,160; 11,117,867; and 11,618,733 (the “Challenged Patents”). The Notice Letter alleges that the Challenged Patents, which expire in 2039, are invalid, unenforceable and/or will not be infringed by the commercial manufacture, use or sale of the generic product described in Annora’s ANDA. The Notice Letter does not challenge the following six ORLADEYO Orange Book patents that expire in 2035: U.S. Patent Nos. 10,125,102; 10,329,260; 10,689,346; 11,230,530; 11,708,333; and 12,116,346.</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10, 2025, we ﬁled a patent infringement lawsuit in the United States District Court for the District of Delaware against Annora, Hetero Labs Limited, Hetero USA, Inc., and Camber Pharmaceuticals, Inc. (collectively, the “Defendants”), asserting infringement of the Challenged Patents arising from Annora’s ANDA filing with the FDA. We are seeking, among other remedies, equitable relief enjoining the Defendants from infringing the Challenged Patents, as well as an order that the eﬀective date of any FDA approval of the ANDA would be a date no earlier than the expiration of the Challenged Patents (including any regulatory extensions). We intend to vigorously defend our intellectual property rights protecting ORLADEYO.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Item 1A. Risk Factors</w:t>
      </w:r>
      <w:r>
        <w:rPr>
          <w:color w:val="000000"/>
        </w:rPr>
        <w:t xml:space="preserve"> </w:t>
      </w:r>
    </w:p>
    <w:p>
      <w:pPr>
        <w:pStyle w:val="TextBody"/>
        <w:bidi w:val="0"/>
        <w:spacing w:lineRule="auto" w:line="288" w:before="20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 Additionally, while some of the factors, events and contingencies described herein may have occurred in the past, the disclosures herein are not representations as to whether or not they have occurred and are instead provided because future occurrences thereof could adversely affect the Company.</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Financial and Liquidity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never achieve sustained profitability.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Since our inception, we have not achieved sustained profitability. Our expectations as to when we may achieve sustained profitability may change based upon our ability to execute our commercialization goals and operational initiatives and whether or not the assumptions underlying our projected revenues and expenses are correct. Our beliefs and projections regarding the attainment of our financial goals may differ from actual results based on market factors like competition, patient and physician acceptance of our products, reimbursement levels, or on our ability to execute our operational and budget plans, including management’s ability to properly forecast our capital allocation needs. To achieve sustained profitability, we, or our collaborative partners, must successfully manufacture and develop products and product candidates, receive regulatory approvals, and successfully commercialize our products and/or enter into profitable commercialization arrangements with other parties.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under the Royalty Purchase Agreements (as defined in “</w:t>
      </w:r>
      <w:r>
        <w:rPr>
          <w:rFonts w:ascii="Times New Roman;serif" w:hAnsi="Times New Roman;serif"/>
          <w:b w:val="false"/>
          <w:i/>
          <w:color w:val="000000"/>
          <w:sz w:val="20"/>
        </w:rPr>
        <w:t>Note 7— Royalty Financing Obligations</w:t>
      </w:r>
      <w:r>
        <w:rPr>
          <w:color w:val="000000"/>
        </w:rPr>
        <w:t xml:space="preserve">” </w:t>
      </w:r>
      <w:r>
        <w:rPr>
          <w:rFonts w:ascii="Times New Roman;serif" w:hAnsi="Times New Roman;serif"/>
          <w:b w:val="false"/>
          <w:color w:val="000000"/>
          <w:sz w:val="20"/>
        </w:rPr>
        <w:t>in the Notes to Condensed Consolidated Financial Statements in Part I, Item 1 of this report), may reduce the profitability of such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developing our product candidates, launching new products, and their potential for commercialization, we are unable to predict the extent of any future losses. Even if we do achieve profitability in a given reporting period, we may not be able to sustain or increase profitability on a quarterly or annual basis. If we are unable to achieve sustained profitability on our anticipated timeline, or at all, the market value of our common stock will likely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need to raise additional capital in the future. If we are unable to raise capital if and when needed, we may need to adjust our operations.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sustained operating losses for the majority of our corporate history. Even if we are able to achieve sustained profitability, in order to continue future operations, progress our drug discovery and development programs, and commercialize our current products and product candidates, we may be required to raise additional capital in the future.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or from other sources, may not be available if or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the Pharmakon Loan Agreement (as defined below). In addition, collaborative arrangements may require us to transfer certain material rights to our corporate partners. Insufficient funds or lack of an acceptable partnership may require us to delay, scale-back or eliminate certain of our research and development programs. See “</w:t>
      </w:r>
      <w:r>
        <w:rPr>
          <w:rFonts w:ascii="Times New Roman;serif" w:hAnsi="Times New Roman;serif"/>
          <w:b w:val="false"/>
          <w:i/>
          <w:color w:val="000000"/>
          <w:sz w:val="20"/>
        </w:rPr>
        <w:t>Risks Relating to Our Business—Risks Relating to Drug Development and Commercialization—If we fail to obtain additional financing or acceptable partnership arrangements if and when needed, we may be unable to complete the development and commercialization of our products and product candidates or continue operations</w:t>
      </w:r>
      <w:r>
        <w:rPr>
          <w:color w:val="000000"/>
        </w:rPr>
        <w:t xml:space="preserve">” </w:t>
      </w:r>
      <w:r>
        <w:rPr>
          <w:rFonts w:ascii="Times New Roman;serif" w:hAnsi="Times New Roman;serif"/>
          <w:b w:val="false"/>
          <w:color w:val="000000"/>
          <w:sz w:val="20"/>
        </w:rPr>
        <w:t>in this section for further discussion of the capital requirements for our development and commercialization efforts.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Our liquidity needs will largely be determined by the success of operations in regard to the commercialization of our products, particularly ORLADEYO, the progression of our product candidates in the future, and our ability to execute our budget plans. Our current plans for managing our liquidity needs primarily include controlling the timing and spending on our research and development programs and commercializing our approved products. See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needs, capital requirements, potential funding alternatives, and adequacy of available funds.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any of our plans will be successful or that additional capital will be available to us on reasonable terms, or at all, if needed. If we are unable to obtain sufficient additional capital if and when needed, we may be forced to adjust or curtail our operations; delay, reduce, or stop ongoing clinical trials or commercialization efforts; cease operations altogether; or file for bankruptcy.</w:t>
      </w:r>
    </w:p>
    <w:p>
      <w:pPr>
        <w:pStyle w:val="TextBody"/>
        <w:bidi w:val="0"/>
        <w:spacing w:lineRule="auto" w:line="288" w:before="20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Relating to the Pending Transaction with Neopharmed Gentili S.p.A.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pendency of the proposed sale of our European ORLADEYO Business or the failure to complete the proposed sale could adversely affect our business and the market price of our common stock.</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June 27, 2025, we announced entry into the Stock Purchase Agreement with Neopharmed, whereby Neopharmed has agreed to acquire our European ORLADEYO Business. The announcement and pendency of the proposed sale of our European ORLADEYO Business could cause disruptions in and create uncertainty surrounding our European ORLADEYO Business, including affecting our relationships with our existing and future customers, patients, physicians, payors and employees, which could have a significant negative impact on our future revenues and results of operations, regardless of whether the sale is completed. In particular, management and financial resources have been diverted and will continue to be diverted towards the completion of the sale, which could have a negative impact on our future revenues and/or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also subject to restrictions, without the consent of Neopharmed, on the conduct of our European ORLADEYO Business prior to the consummation of the sale. These restrictions could potentially hinder the ability of our European ORLADEYO Business to adapt to changing market conditions or take necessary actions to improve performance, and may otherwise have a significant negative impact on the future revenues and/or results of operations of our European ORLADEYO Business.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There is also no assurance that the closing of the sale will occur. Consummation of the sale is subject to various conditions, including the receipt of antitrust approval, certain third party consents, the accuracy of the Company’s and BioCryst Ireland’s representations and warranties except, generally, for any inaccuracies that have not had a material adverse effect with respect to our European ORLADEYO Business, the absence of any law or injunction restraining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otherwise prohibiting the consummation of the transactions, the absence of a material adverse effect on our European ORLADEYO Business and delivery of a customary payoff letter relating to the repayment of certain of our indebtedness from the proceeds of the sale. The failure to satisfy all of the required conditions could delay the completion of the sale for a significant period of time or prevent it from occurring at all. There can be no assurance that the conditions to the completion of the sale will be satisfied or waived or that the transaction will be completed. In addition, either we or Neopharmed may terminate the Stock Purchase Agreement under certain circumstances, including if the sale is not completed by December 31, 2025. We have also incurred, and will continue to incur, significant costs, expenses and fees for professional services and other transaction costs in connection with the proposed sale, as well as the diversion of management resources towards the sale, for which we will have received little or no benefit if the closing does not occur. A failed transaction may also result in negative publicity, a negative impression of us in the investment community and a decline in our share price.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amount of the milestone payments we may receive following the sale of our European ORLADEYO Business is subject to various risks and uncertainties.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connection with the sale, Neopharmed will acquire our European ORLADEYO Business and will pay to us:</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a cash payment, payable upon closing, of $250 million, subject to customary purchase price adjustments; and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future milestone payments of up to $14 million associated with revenue of ORLADEYO® in Central and Eastern Europe.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milestone payments are subject to various risks and uncertainties. The milestone payments will be based on the achievement of specified net sales targets for the sale of ORLADEYO® in Central and Eastern Europe. It is not possible to determine with precision as of the date of this Quarterly Report on Form 10-Q the amount or timing of sales of ORLADEYO® in Central and Eastern Europe in the future and, therefore, it is possible that the milestone payments will not be earned or will be limited by lower net sales than anticipated. The specified net sales targets for ORLADEYO® in Central and Eastern Europe were based on certain assumptions about the future financial performance of ORLADEYO® in Central and Eastern Europe, and there can be no assurance that such projections will be achieved or that the milestone payments will become payable.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cash payment we receive is subject to certain customary purchase price adjustments. If we miscalculate certain of these purchase price adjustments, the total amount of net proceeds we receive could be negatively impacted.</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We will incur significant expenses in connection with the sale of our European ORLADEYO Business, regardless of whether the sale is completed.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to incur significant expenses related to the sale of our European ORLADEYO Business. These expenses include, but are not limited to, legal fees, accounting fees and expenses, certain employee expenses and other related fees and expenses. Many of these expenses will be payable by us regardless of whether the sale is completed.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 if the sale is completed, we will enter into the Transition Services Agreement, which will provide for certain transition services to be provided to BioCryst Ireland by us, for the periods of time and compensation set forth therein, in order to facilitate the transition of the European ORLADEYO Business to Neopharmed. Performance of our obligations under the Transition Services Agreement may incur significant financial costs, and the focus and attention of our management and employee resources may be diverted, which could have a negative impact on our future revenues and/or results of operations.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realize the anticipated benefits of the sale of our European ORLADEYO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not be able to realize the anticipated benefits from the sale of our European ORLADEYO Business. Our ability to realize the anticipated benefits of the sale and the success of the remaining company is subject to various risks and uncertainties, including the possibility that we may not be able to successfully sustain being a higher margin business or that we may not increase profitability through sustainable ORLADEYO® growth, our pipeline, and potential external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Drug Development and Commercialization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 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or integrate viable products or product candidates into our business on acceptable terms, or at all, our business and drug development efforts could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The outcome of preclinical testing and early clinical trials may not be predictive of the success of later clinical trials, and interim results of a clinical trial do not necessarily predict final results. For example, any successful results of our preclinical and early clinical work for avoralstat, BCX17725 and our early-stage discovery programs do not guarantee the success of later clinical trials. Moreover, preclinical and clinical data are often susceptible to varying interpretations and analyses, and for some product candidates, there may not be an ideal model for preclinical testing. We also cannot guarantee that any preclinical studies and clinical trials will be conducted as planned or completed on schedule, if at all, or that the results of such trials will be sufficient to support regulatory approval for our product candidates.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as well as an adequate benefit-risk profile. Failure to achieve any of these endpoints or to show adequate benefit-risk profile in any of our programs (including the therapies in our pipeline described in “</w:t>
      </w:r>
      <w:r>
        <w:rPr>
          <w:rFonts w:ascii="Times New Roman;serif" w:hAnsi="Times New Roman;serif"/>
          <w:b w:val="false"/>
          <w:i/>
          <w:color w:val="000000"/>
          <w:sz w:val="20"/>
        </w:rPr>
        <w:t>Management’s Discussion and Analysis of Financial Condition and Results of Operations—Overview—Products and Product Candidates</w:t>
      </w:r>
      <w:r>
        <w:rPr>
          <w:color w:val="000000"/>
        </w:rPr>
        <w:t xml:space="preserve">” </w:t>
      </w:r>
      <w:r>
        <w:rPr>
          <w:rFonts w:ascii="Times New Roman;serif" w:hAnsi="Times New Roman;serif"/>
          <w:b w:val="false"/>
          <w:color w:val="000000"/>
          <w:sz w:val="20"/>
        </w:rPr>
        <w:t xml:space="preserve">in Part I, Item 2 of this report), has in the past, and could again in the future, result in delays in, modifications to, or discontinuations of our trials or require the performance of additional unplanned trials.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 our product candidates, significant unexpected costs, or the termination of programs.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 development plans for our product candidates, including our clinical trials,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such candidates are unlikely to show favorable results in clinical trials, unlikely to help advance a product to the point of a meaningful collaboration, or unlikely to have reasonable commercial potential.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Undesirable or inconclusive data in our preclinical studies and clinical trials or side effects in humans could result in the FDA or foreign regulatory authorities (including, e.g., the European Medicines Agency (“EMA”), the Ministry of Health, Labor and Welfare (“MHLW”) in Japan, or the United Kingdom’s Medicines and Healthcare products Regulatory Agency (“MHRA”)) refusing to approve a product candidate for any targeted indications or imposing restrictions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complete the clinical development process successfully is dependent upon many factors,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or our partners’ ability to secure suitable clinical sites and investigators and to enroll and maintain an adequate number of patients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patients that enroll in a clinical trial may not comply with the clinical trial protocols or maintain contact with investigators to provide complete data during and after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product candidates may not prove to be either safe or effective for our targeted indications, or at all, or may produce unfavorable or inconclusive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evolving guidance, or findings of undesirable effects caused by a chemically or mechanistically similar product or product candidate;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disagree with our or our partners’ clinical trial protocols or our or their interpretation of data from preclinical studies and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clinical protocols or study procedures may not be adequately designed or followed by the investigators;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improvements may not work as expected, which could negatively impact commercial demand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fail to approve or subsequently find fault with the manufacturing processes or facilities of third-party manufacturers with which we or our partners enter into agreements for clinical and commercial supplies;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or our partners’ development plans may be delayed or changed as a result of changes in development strategy, the impact of new or different regulations, requirements, and guidelines, or other unexpected events or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 of preclinical studies and clinical trials may be greater than we anticipate;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any global health epidemic or pandemic, such as COVID-19, on one or more of the foregoing factors.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Clinical trials are lengthy and expensive. Many of the factors listed above could result in increased clinical development costs or longer clinical development times for any of our programs. We and our partners incur substantial 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development collaborations with third parties, such as our development partners, contractors and contract research organizations, fail, the development of our product candidates will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rely heavily upon third parties for many important stages of our product candidate development,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discovery of natural proteins that cause or enable biological reactions necessary for the progression of the disease or disorder;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certain pharmacology preclinical studies and late-stage development for our compounds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our phase 1, 2 and 3 clinical trials, including medical monitoring, laboratory testing, and data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execution of toxicology studies that may be required to obtain approval for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improvement strategies and methods;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the starting materials and drug substance required to formulate our products and the product candidates to be used in our clinical trials, toxicology studies and any potential commercial product;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management of certain regulatory interactions outside of the United States.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engage in successful collaborations at any one of these stages would greatly impact our business. If we do not license protein targets or inhibitors from academic institutions or from other biotechnology companies on acceptable terms, or at all, our drug development efforts could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(including clinical operation services) in connection with our clinical trials, provide medical writing services,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current Good Manufacturing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obtain additional financing or acceptable partnership arrangements if and when needed, we may be unable to complete the development and commercialization of our products and product candidates or continue operations.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 our programs advance, our costs could increase. Our current and planned discovery, development, approval, and commercialization efforts may require significant capital. Our expenses, revenues and cash utilization rate could vary significantly depending on many factors, including: our ability to effectively manage our product candidate pipeline; our ability to obtain regulatory approvals for our product candidates; our ability to maintain regulatory approvals for, successfully commercialize, and achieve sustained market acceptance of our products, including ORLADEY</w:t>
      </w:r>
      <w:r>
        <w:rPr>
          <w:rFonts w:ascii="Times New Roman;serif" w:hAnsi="Times New Roman;serif"/>
          <w:b w:val="false"/>
          <w:color w:val="000000"/>
          <w:sz w:val="20"/>
          <w:shd w:fill="FFFFFF" w:val="clear"/>
        </w:rPr>
        <w:t>O;</w:t>
      </w:r>
      <w:r>
        <w:rPr>
          <w:color w:val="000000"/>
        </w:rPr>
        <w:t xml:space="preserve"> </w:t>
      </w:r>
      <w:r>
        <w:rPr>
          <w:rFonts w:ascii="Times New Roman;serif" w:hAnsi="Times New Roman;serif"/>
          <w:b w:val="false"/>
          <w:color w:val="000000"/>
          <w:sz w:val="20"/>
        </w:rPr>
        <w:t xml:space="preserve">our ability to successfully consummate the pending transaction with Neopharmed, as contemplated under the Stock Purchase Agreement; </w:t>
      </w:r>
      <w:r>
        <w:rPr>
          <w:rFonts w:ascii="Times New Roman;serif" w:hAnsi="Times New Roman;serif"/>
          <w:b w:val="false"/>
          <w:color w:val="000000"/>
          <w:sz w:val="20"/>
          <w:shd w:fill="FFFFFF" w:val="clear"/>
        </w:rPr>
        <w:t>our ability to raise additional capital if needed; our ability to secure partnerships with t</w:t>
      </w:r>
      <w:r>
        <w:rPr>
          <w:rFonts w:ascii="Times New Roman;serif" w:hAnsi="Times New Roman;serif"/>
          <w:b w:val="false"/>
          <w:color w:val="000000"/>
          <w:sz w:val="20"/>
        </w:rPr>
        <w:t>hird parties for our product candidates when deemed advisable; the amount of funding we receive from partnerships with third parties for the development and commercialization of our products and product candidates;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order to continue future operations, progress our drug discovery and development programs, and commercialize our current products and product candidates, we may be required to raise additional capital. Our ability to raise additional capital if and when needed may be limited and may greatly depend u</w:t>
      </w:r>
      <w:r>
        <w:rPr>
          <w:rFonts w:ascii="Times New Roman;serif" w:hAnsi="Times New Roman;serif"/>
          <w:b w:val="false"/>
          <w:color w:val="000000"/>
          <w:sz w:val="20"/>
          <w:shd w:fill="FFFFFF" w:val="clear"/>
        </w:rPr>
        <w:t>pon ou</w:t>
      </w:r>
      <w:r>
        <w:rPr>
          <w:rFonts w:ascii="Times New Roman;serif" w:hAnsi="Times New Roman;serif"/>
          <w:b w:val="false"/>
          <w:color w:val="000000"/>
          <w:sz w:val="20"/>
        </w:rPr>
        <w:t xml:space="preserve">r sustained success in commercializing and achieving market acceptance of ORLADEYO and the success of our current drug development programs, including the progress, timeline and ultimate outcome of the development programs (including, but not limited to, formulation progress,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val="false"/>
          <w:color w:val="000000"/>
          <w:sz w:val="20"/>
        </w:rPr>
        <w:t>long-term human safety studies, clinical trial investigations, and carcinogenicity, drug-drug interaction, toxicity, or other required studies) described in “</w:t>
      </w:r>
      <w:r>
        <w:rPr>
          <w:rFonts w:ascii="Times New Roman;serif" w:hAnsi="Times New Roman;serif"/>
          <w:b w:val="false"/>
          <w:i/>
          <w:color w:val="000000"/>
          <w:sz w:val="20"/>
        </w:rPr>
        <w:t>Management’s Discussion and Analysis of Financial Condition and Results of Operations—Overview—Products and Product Candidates</w:t>
      </w:r>
      <w:r>
        <w:rPr>
          <w:color w:val="000000"/>
        </w:rPr>
        <w:t xml:space="preserve">” </w:t>
      </w:r>
      <w:r>
        <w:rPr>
          <w:rFonts w:ascii="Times New Roman;serif" w:hAnsi="Times New Roman;serif"/>
          <w:b w:val="false"/>
          <w:color w:val="000000"/>
          <w:sz w:val="20"/>
        </w:rPr>
        <w:t>in Part I, Item 2 of this report, as well as any post-approval studies for our products. In addition, constriction and volatility in the equity and debt markets, including as a result of the impacts of inflation, increased interest rates, disruption or instability in the banking industry, geopolitical instability, or public health emergencies such as the COVID-19 pandemic, may restrict our future flexibility to raise capital if and when such needs arise. See “</w:t>
      </w:r>
      <w:r>
        <w:rPr>
          <w:rFonts w:ascii="Times New Roman;serif" w:hAnsi="Times New Roman;serif"/>
          <w:b w:val="false"/>
          <w:i/>
          <w:color w:val="000000"/>
          <w:sz w:val="20"/>
        </w:rPr>
        <w:t>Risks Relating to Our Business—Financial and Liquidity Risks—We may need to raise additional capital in the future. If we are unable to raise capital if and when needed, we may need to adjust our operations</w:t>
      </w:r>
      <w:r>
        <w:rPr>
          <w:color w:val="000000"/>
        </w:rPr>
        <w:t xml:space="preserve">” </w:t>
      </w:r>
      <w:r>
        <w:rPr>
          <w:rFonts w:ascii="Times New Roman;serif" w:hAnsi="Times New Roman;serif"/>
          <w:b w:val="false"/>
          <w:color w:val="000000"/>
          <w:sz w:val="20"/>
        </w:rPr>
        <w:t>in this section and “</w:t>
      </w:r>
      <w:r>
        <w:rPr>
          <w:rFonts w:ascii="Times New Roman;serif" w:hAnsi="Times New Roman;serif"/>
          <w:b w:val="false"/>
          <w:i/>
          <w:color w:val="000000"/>
          <w:sz w:val="20"/>
        </w:rPr>
        <w:t>Management’s Discussion and Analysis of Financial Condition and Results of Operations—Liquidity and Capital Resources</w:t>
      </w:r>
      <w:r>
        <w:rPr>
          <w:color w:val="000000"/>
        </w:rPr>
        <w:t xml:space="preserve">” </w:t>
      </w:r>
      <w:r>
        <w:rPr>
          <w:rFonts w:ascii="Times New Roman;serif" w:hAnsi="Times New Roman;serif"/>
          <w:b w:val="false"/>
          <w:color w:val="000000"/>
          <w:sz w:val="20"/>
        </w:rPr>
        <w:t>in Part I, Item 2 of this report for additional information about our liquidity risks and capital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inflation, increased interest rates, disruption or instability in the banking industry, potential U.S. Government shutdowns, changes in presidential administration in the United States, geopolitical instability, actual or threatened public health emergencies, outbreaks of disease, epidemics or pandemics (such as the COVID-19 pandemic). Any such instability may impact these parties’ ability to fulfill contractual obligations to us, or it might limit or place burdensome conditions upon future transactions with us. Also, it is possible that suppliers may be negatively impacted as a result of economic and political instability.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process of preparing for and obtaining regulatory approval in any jurisdiction may be lengthy and expensive, and approval is never certain. Because of the risks and uncertainties inherent to the development process, our product candidates could take a significantly longer time to gain regulatory approval than we expect or may never gain approval. As discussed under “</w:t>
      </w:r>
      <w:r>
        <w:rPr>
          <w:rFonts w:ascii="Times New Roman;serif" w:hAnsi="Times New Roman;serif"/>
          <w:b w:val="false"/>
          <w:i/>
          <w:color w:val="000000"/>
          <w:sz w:val="20"/>
        </w:rPr>
        <w:t>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r>
        <w:rPr>
          <w:rFonts w:ascii="Times New Roman;serif" w:hAnsi="Times New Roman;serif"/>
          <w:b w:val="false"/>
          <w:color w:val="000000"/>
          <w:sz w:val="20"/>
        </w:rPr>
        <w:t>,” we and our partners have experienced, and may again in the future</w:t>
      </w:r>
      <w:r>
        <w:rPr>
          <w:color w:val="000000"/>
        </w:rPr>
        <w:t xml:space="preserve"> </w:t>
      </w:r>
      <w:r>
        <w:rPr>
          <w:rFonts w:ascii="Times New Roman;serif" w:hAnsi="Times New Roman;serif"/>
          <w:b w:val="false"/>
          <w:color w:val="000000"/>
          <w:sz w:val="20"/>
        </w:rPr>
        <w:t>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 as discussed under “</w:t>
      </w:r>
      <w:r>
        <w:rPr>
          <w:rFonts w:ascii="Times New Roman;serif" w:hAnsi="Times New Roman;serif"/>
          <w:b w:val="false"/>
          <w:i/>
          <w:color w:val="000000"/>
          <w:sz w:val="20"/>
        </w:rPr>
        <w:t>Risk Factors—Risks Relating to Our Business—Legal and Regulatory Risks—We are subject to various laws and regulations related to our products and product candidates, and if we or our partners do not comply with these laws and regulations, we could face substantial penalties</w:t>
      </w:r>
      <w:r>
        <w:rPr>
          <w:rFonts w:ascii="Times New Roman;serif" w:hAnsi="Times New Roman;serif"/>
          <w:b w:val="false"/>
          <w:color w:val="000000"/>
          <w:sz w:val="20"/>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focus primarily on rare diseases, which may create additional risks and challenges, including that the target patient populations of our products and product candidates may be small.</w:t>
      </w:r>
    </w:p>
    <w:p>
      <w:pPr>
        <w:pStyle w:val="TextBody"/>
        <w:bidi w:val="0"/>
        <w:spacing w:lineRule="auto" w:line="288" w:before="200" w:after="283"/>
        <w:ind w:left="0" w:right="0" w:firstLine="540"/>
        <w:jc w:val="left"/>
        <w:rPr/>
      </w:pPr>
      <w:r>
        <w:rPr>
          <w:rFonts w:ascii="Times New Roman;serif" w:hAnsi="Times New Roman;serif"/>
          <w:b w:val="false"/>
          <w:color w:val="000000"/>
          <w:sz w:val="20"/>
        </w:rPr>
        <w:t>Because we focus primarily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See “</w:t>
      </w:r>
      <w:r>
        <w:rPr>
          <w:rFonts w:ascii="Times New Roman;serif" w:hAnsi="Times New Roman;serif"/>
          <w:b w:val="false"/>
          <w:i/>
          <w:color w:val="000000"/>
          <w:sz w:val="20"/>
        </w:rPr>
        <w:t>Business—Government Regulation—FDA Regulation—Orphan Drugs</w:t>
      </w:r>
      <w:r>
        <w:rPr>
          <w:color w:val="000000"/>
        </w:rPr>
        <w:t xml:space="preserve">” </w:t>
      </w:r>
      <w:r>
        <w:rPr>
          <w:rFonts w:ascii="Times New Roman;serif" w:hAnsi="Times New Roman;serif"/>
          <w:b w:val="false"/>
          <w:color w:val="000000"/>
          <w:sz w:val="20"/>
        </w:rPr>
        <w:t>in Part I, Item 1 of our most recent Annual Report on Form 10-K.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Given the small number of patients who have the diseases that we are targeting, it is important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small, we may never become or remain profitable nor generate sufficient revenue growth to sustain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products that receive marketing approval, or such authorities do not grant our products appropriate periods of data or market exclusivity before approving generic versions of our products, the sales of our products could be adversely affected.</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or ANDAs, in the United States,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in Part I, Item 1 of our most recent Annual Report on Form 10-K.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88" w:before="200" w:after="283"/>
        <w:ind w:left="0" w:right="0" w:firstLine="540"/>
        <w:jc w:val="left"/>
        <w:rPr/>
      </w:pPr>
      <w:r>
        <w:rPr>
          <w:rFonts w:ascii="Times New Roman;serif" w:hAnsi="Times New Roman;serif"/>
          <w:b w:val="false"/>
          <w:color w:val="000000"/>
          <w:sz w:val="20"/>
        </w:rPr>
        <w:t>The FDA may not approve an ANDA for a generic drug until any applicable period of non-patent exclusivity for the reference-listed drug has expired, as described in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but such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generic drugs following the expiration of the marketing exclusivity period, even if we still have patent protection for such drugs.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Competition that our products or product candidates may face from generic drugs could materially and adversely impact our future revenue, profitability and cash flows and substantially limit our ability to obtain a return on the investments we have made in those product candidates. Our future revenues, profitability and cash flows could also be materially and adversely affected and our ability to obtain a return on the investments we have made in those product candidates may be substantially limited if our products or, if and when approved, product candidates, are not afforded the appropriate periods of non-patent exclusivity.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commercial viability of any approved product could be compromised if the product is less effective than expected, causes undesirable side effects that either were not previously identified or were worse than expected, or fails to achieve market acceptance within the medical community.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after obtaining regulatory approval of a product, we or others discover that the product is less effective than previously believed or causes undesirable side effects that either were not previously identified or were worse than expected, any of the following adverse events could occur: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be required to recall the product, change the way the product is administered, conduct additional clinical trials, or be subject to civil or criminal penalties;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product may become less competitive and our reputation may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successfully commercialize or establish collaborative relationships to commercialize or develop certain of our products and product candidates, or if any partner terminates or fails to perform its obligations under agreements with us, potential revenues from commercialization of our products and product candidates could be reduced, delayed or eliminated.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Currently, we have established collaborative relationships with, among others, third-party distributors for ORLADEYO in certain markets, with Torii for ORLADEYO in Japan, with each of Shionogi and Green Cross for the development and commercialization of peramivir, and with Clearside for the development of avoralstat with Clearside’s SCS Microinjector®. The process of establishing and implementing collaborative relationships is difficult, time-consuming and involves significant uncertainty,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seek to renegotiate or terminate our relationships due to unsatisfactory commercial, regulatory or clinical results, including post-approval clinical commitments, a change in business strategy, a change of control or other reasons;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contracts for collaborative arrangements may expire;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possibility that expiration or termination of collaborative relationships, such as those with certain of our distribution partners, may trigger repurchase obligations of the Company for unsold product held by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partners may choose to pursue alternative technologies, including those of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had in the past, and in the future may have, disputes with a partner that could lead to litigation or arbitration, which could result in substantial costs and divert the attention of our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do not have day-to-day control over the activities of our partners and have limited control over their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devote sufficient capital or resources toward our products and product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our partners may not comply with applicable government regulatory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 results of our partnership with Torii may not meet our current expectations.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have a partnership agreement with Torii for ORLADEYO in Japan. Under our agreement with Torii,</w:t>
      </w:r>
      <w:r>
        <w:rPr>
          <w:color w:val="000000"/>
          <w:shd w:fill="FFFFFF" w:val="clear"/>
        </w:rPr>
        <w:t xml:space="preserve"> </w:t>
      </w:r>
      <w:r>
        <w:rPr>
          <w:rFonts w:ascii="Times New Roman;serif" w:hAnsi="Times New Roman;serif"/>
          <w:b w:val="false"/>
          <w:color w:val="000000"/>
          <w:sz w:val="20"/>
          <w:shd w:fill="FFFFFF" w:val="clear"/>
        </w:rPr>
        <w:t>we are responsible for all field promotional activities with respect to ORLADEYO in Japan, which we conduct through our Japanese subsidiary, BioCryst Japan K.K. Furthermore, we remain responsible for regulatory activities with respect to ORLADEYO in Japan, and we use third parties to satisfy those regulatory responsibilities and certain other obligations in Japan. If any party fails to meet its obligations, the commercial success of ORLADEYO in Japan and the economic benefit expected could be negatively impacted.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There can be no assurance that our or our partners’ commercialization efforts, methods, and strategies for our products or technologies will succeed, and our future revenue generation is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or our partners may fail to complete clinical trials successfully, or satisfy post-marketing commitments, sufficient to obtain and maintain regulatory agency marketing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many competitors are more experienced and have significantly more resources, and their products could reach the market faster, be more cost effective or have a better efficacy or tolerability profile than our products and product candidates;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fail to employ a comprehensive and effective regulatory strategy, which could result in a delay or failure in commercialization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and our partners’ ability to successfully commercialize our products is affected by the competitive landscape, which cannot be fully known at this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revenue from product sales depends on our ability to obtain and maintain favorable pricing;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reimbursement is constantly changing, which could greatly affect usage of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revenue from product sales will depend on our ability to successfully complete clinical studies, obtain regulatory approvals, and manufacture, market, distribute and commercialize our approved drugs; and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the impact of public health emergencies or the outbreak of disease, such as the COVID-19 pandemic, on us or our partners.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future revenue from sales of ORLADEYO is subject to uncertainties and will depend on several factors, including our pending transaction with Neopharmed for the sale of our European ORLADEYO Business, the success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val="false"/>
          <w:color w:val="000000"/>
          <w:sz w:val="20"/>
        </w:rPr>
        <w:t>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number of patients receiving free product, the conversion of patients from our clinical trials and early access programs to commercial customers, our pricing strategy, and market trends</w:t>
      </w:r>
      <w:r>
        <w:rPr>
          <w:rFonts w:ascii="Times New Roman;serif" w:hAnsi="Times New Roman;serif"/>
          <w:b w:val="false"/>
          <w:color w:val="000000"/>
          <w:sz w:val="20"/>
          <w:shd w:fill="FFFFFF" w:val="clear"/>
        </w:rPr>
        <w: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Even if we are able to successfully commercialize our existing products, or to develop new commercially viable products, certain obligations we have to third parties, including, without limitation, our obligations to pay royalties on certain revenues from ORLADEYO under the Royalty Purchase Agreements, may reduce the profitability of such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expanded, and may continue expanding, our development and regulatory capabilities and are implementing sales, marketing and distribution capabilities, and as a result, we may encounter difficulties in managing our growth, which could disrupt our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significant growth in the number of our employees and the scope of our operations in the United States and internationally, particularly in the areas of drug development, regulatory 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insufficient resources being devoted in the manner necessary to satisfy our requirements within expected timeframes;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inconsistent production yields;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liability claims or recalls of commercial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scaling production to commercial and validation sizes;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interruption of the delivery of materials required for the manufacturing process;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distribute commercial supplies of our products to commercial vendors or end users in a timely manner;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scheduling of plant time with other vendors or unexpected equipment failure;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catastrophes that could strike their facilities or have an effect on infrastructure;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impurities in our drug substance or products that could affect availability of product for our clinical trials or future commercialization;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poor quality control and assurance or inadequate process controls;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provide us with accurate or timely information regarding inventory, the number of patients who are using our products, or serious adverse events and/or product complaints regarding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inability of third parties to satisfy their financial obligations to us or to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breach of the manufacturing or distribution agreement by the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termination or non-renewal of a material agreement by the third party at a time that is costly or inconvenient to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lack of compliance or cooperation with regulations and specifications or requests set forth by the FDA or other foreign regulatory agencies or local customs.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inventory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procedures,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currently contract with a foreign CMO in China for the manufacturing of one of our product candidates. Foreign CMOs may be subject to U.S. legislation, including the proposed BIOSECURE Act, sanctions, trade restrictions and other foreign regulatory requirements, which could increase the cost or reduce the supply of material available to us or delay the procurement or supply of such material.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current third-party relationships, or enter into new agreements with additional third parties on commercially reasonable terms, or at all,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pStyle w:val="TextBody"/>
        <w:bidi w:val="0"/>
        <w:spacing w:lineRule="auto" w:line="288" w:before="200" w:after="283"/>
        <w:jc w:val="left"/>
        <w:rPr/>
      </w:pPr>
      <w:r>
        <w:rPr>
          <w:rFonts w:ascii="Times New Roman;serif" w:hAnsi="Times New Roman;serif"/>
          <w:b/>
          <w:i/>
          <w:color w:val="000000"/>
          <w:sz w:val="20"/>
        </w:rPr>
        <w:t>Commercialization of our products by us and our partners is subject to the potential commercialization risks described herein and numerous additional risks.</w:t>
      </w:r>
      <w:r>
        <w:rPr>
          <w:color w:val="000000"/>
        </w:rPr>
        <w:t xml:space="preserve"> </w:t>
      </w:r>
      <w:r>
        <w:rPr>
          <w:rFonts w:ascii="Times New Roman;serif" w:hAnsi="Times New Roman;serif"/>
          <w:b/>
          <w:i/>
          <w:color w:val="000000"/>
          <w:sz w:val="20"/>
        </w:rPr>
        <w:t>Any potential revenue benefits to us, including in the form of milestone payments, royalties or other consideration, are highly speculative.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our products may not prove to be adequately safe and effective for market approval in markets other than the markets in which they are currently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necessary funding for post-marketing commitments and further development of our products may not be available timely, at all, or in sufficient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advances in competing products could substantially replace potential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government and third-party payors may not provide sufficient coverage or reimbursement, which would negatively impact the demand for our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supply commercial material to our partners and our partners may not be able to maintain or establish sufficient and acceptable commercial manufacturing, either directly or through third-party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commercial demand for and acceptance of our products by healthcare providers and by patients may not be sufficient to result in substantial product revenues to us or to our partners and may result in little to no revenue, milestone payments, or royalties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effectiveness of marketing and commercialization efforts for our products by us or our partners;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 satisfaction with existing alternative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perceived efficacy relative to other available therapies;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disease prevalence;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cost of treatment;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pricing and reimbursement strategy may not be effective;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legislative or regulatory proposals may influence our pricing and reimbursement strategy, which could impact product revenues;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pricing and availability of imports or alternative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marketing and sales activities of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shifts in the medical community to new treatment paradigms or standards of care;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relative convenience and ease of administration.</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Competing in Our Industry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intense competition, and if we are unable to compete effectively, the demand for our products may be reduced.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 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other drug development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methods of preventing or reducing the incidence of disease, including vaccines;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new small molecule or other classes of therapeutic agents.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Developments by others may render our products, product candidates, or technologies obsolete or noncompetitive.</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received FDA approval of ORLADEYO, an oral, once-daily therapy for the prevention of HAE attacks in adults and pediatric patients aged 12 years and older, in December 2020, and subsequently received regulatory approvals for ORLADEYO in other global markets. In addition, the ongoing APeX-P clinical trial, which is complete through the primary endpoint, is continuing to assess an oral granule formulation of ORLADEYO in pediatric patients who are 2 to 11 years of age at enrollment. We are also performing research on or developing products for the treatment of several other rare or difficult-to-treat diseases, including Netherton syndrome, DME, and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w:t>
      </w:r>
      <w:r>
        <w:rPr>
          <w:rFonts w:ascii="Times New Roman;serif" w:hAnsi="Times New Roman;serif"/>
          <w:b w:val="false"/>
          <w:i/>
          <w:color w:val="000000"/>
          <w:sz w:val="20"/>
        </w:rPr>
        <w:t>Business—Competition</w:t>
      </w:r>
      <w:r>
        <w:rPr>
          <w:color w:val="000000"/>
        </w:rPr>
        <w:t xml:space="preserve">” </w:t>
      </w:r>
      <w:r>
        <w:rPr>
          <w:rFonts w:ascii="Times New Roman;serif" w:hAnsi="Times New Roman;serif"/>
          <w:b w:val="false"/>
          <w:color w:val="000000"/>
          <w:sz w:val="20"/>
        </w:rPr>
        <w:t>in Part I, Item 1 of our most recent Annual Report on Form 10-K for further discussion of our competitors, competitive products or programs, and the competitive conditions in these and other therapeutic areas.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one or more of our competitors’ products or programs, including potential competitors not currently identified, are successful, the market for our products may be reduced or eliminated.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Compared to us, many of our competitors and potential competitors have substantially greater: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capital resources;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resources, including personnel and technology;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preclinical study and clinical testing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marketing, and sales experience;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production facilities.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competitive factors could impede our funding efforts, render our products, product candidates, or technologies noncompetitive or eliminate or reduce demand for our products and product candidates.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Legal and Regulatory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various laws and regulations related to our products and product candidates, and if we or our partners do not comply with these laws and regulations, we could face substantial penalties.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and our partners’ activities related to approved products or, following their regulatory approval (if applicable), any of our product candidates under development, are subject to regulatory and law enforcement authorities in the United States (including the FDA, the Federal Trade Commission, the Department of Justice (“DOJ”), and state and local governments) and their foreign equivalents (including the EMA, MHLW, MHRA, and others).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responsible for reporting adverse drug experiences, have responsibility for certain post-approval studies, and may have responsibilities and costs related to a recall or withdrawal of our products from sale in the jurisdictions in which 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are subject to the federal Physician Payment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federal Physician Payment Sunshine Act and similar legislation or the fraud and abuse laws may be punishable by civil or criminal sanctions, including fines and civil monetary penalties, and future exclusion from participation in government healthcare programs.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and evolving FDA guidance. If we fail to comply with any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other restrictive conditions of approval that limit our ability to promote, sell or distribute a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Furthermore, the approval of our products and any other future product candidates may be subject to requirements for costly post-approval testing and surveillance to monitor their safety or efficacy or certain post-approval labeling, packaging and storage requirements.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Advertising and promotion are subject to stringent oversight from the FDA and foreign regulators, and as an NDA holder, we may be held responsible for any advertising and promotion that is not in compliance with applicable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and these support services have increasingly become the focus of government investigation.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(“CMS”), other divisions of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If our operations with respect to our products that are subject to healthcare laws and regulations are found to be in violation of any of the healthcare fraud and abuse laws described above or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or any other governmental regulations that apply to us, we may be subject to liability and penalties, including civil and criminal penalties, damages, fines, debarment or exclusion from participating in government-funded healthcare programs such as Medicare or Medicaid, and the curtailment or restructuring of our operations. Any penalties, damages, fines, debarment, exclusion,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color w:val="000000"/>
          <w:sz w:val="20"/>
        </w:rPr>
        <w:t>The policies of the FDA and other regulatory authorities may change, including as a result of changes in presidential administration of the United States, and additional government regulations or executive orders may be enacted that could prevent, limit or delay regulatory approval of our product candidates, change our continuing compliance obligations, or otherwise adversely affect our business.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In addition, significant tariffs or other restrictions imposed and related countermeasures taken by impacted foreign countries could adversely affect our operations and financial results.</w:t>
      </w:r>
      <w:r>
        <w:rPr>
          <w:color w:val="212529"/>
          <w:shd w:fill="FFFFFF" w:val="clear"/>
        </w:rPr>
        <w:t xml:space="preserve"> </w:t>
      </w:r>
      <w:r>
        <w:rPr>
          <w:rFonts w:ascii="Times New Roman;serif" w:hAnsi="Times New Roman;serif"/>
          <w:b w:val="false"/>
          <w:color w:val="000000"/>
          <w:sz w:val="20"/>
        </w:rPr>
        <w:t>We cannot predict the likelihood, nature or extent of government regulation or other measures that may arise from future legislation or administrative or executive action, either in the United States or abroad.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employees, consultants and partners may engage in misconduct or other improper activities, including non-compliance with regulatory standards and requirements, which could cause significant liability for us and harm our reputation.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asserting our rights, those actions could have a significant impact on our business and results of operations, including the imposition of significant fines or other sanctions.</w:t>
      </w:r>
    </w:p>
    <w:p>
      <w:pPr>
        <w:pStyle w:val="TextBody"/>
        <w:bidi w:val="0"/>
        <w:spacing w:lineRule="auto" w:line="288" w:before="200" w:after="283"/>
        <w:jc w:val="left"/>
        <w:rPr/>
      </w:pPr>
      <w:r>
        <w:rPr>
          <w:rFonts w:ascii="Times New Roman;serif" w:hAnsi="Times New Roman;serif"/>
          <w:b/>
          <w:i/>
          <w:color w:val="000000"/>
          <w:sz w:val="20"/>
        </w:rPr>
        <w:t>We and our partners may be subject to new legislation, regulatory proposals and healthcare payor initiatives that may increase our costs of compliance and adversely affect our or our partners</w:t>
      </w:r>
      <w:r>
        <w:rPr>
          <w:color w:val="000000"/>
        </w:rPr>
        <w:t xml:space="preserve">’ </w:t>
      </w:r>
      <w:r>
        <w:rPr>
          <w:rFonts w:ascii="Times New Roman;serif" w:hAnsi="Times New Roman;serif"/>
          <w:b/>
          <w:i/>
          <w:color w:val="000000"/>
          <w:sz w:val="20"/>
        </w:rPr>
        <w:t>ability to market our products or develop our product candidates.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are subject to new legislation, regulatory, and healthcare payor initiatives, including the Patient Protection and Affordable Care Act (“PPACA”), which made extensive changes to the delivery of healthcare in the United States, as discussed in “</w:t>
      </w:r>
      <w:r>
        <w:rPr>
          <w:rFonts w:ascii="Times New Roman;serif" w:hAnsi="Times New Roman;serif"/>
          <w:b w:val="false"/>
          <w:i/>
          <w:color w:val="000000"/>
          <w:sz w:val="20"/>
        </w:rPr>
        <w:t>Business—Government Regulation</w:t>
      </w:r>
      <w:r>
        <w:rPr>
          <w:color w:val="000000"/>
        </w:rPr>
        <w:t xml:space="preserve">” </w:t>
      </w:r>
      <w:r>
        <w:rPr>
          <w:rFonts w:ascii="Times New Roman;serif" w:hAnsi="Times New Roman;serif"/>
          <w:b w:val="false"/>
          <w:color w:val="000000"/>
          <w:sz w:val="20"/>
        </w:rPr>
        <w:t>in Part I, Item 1 of our most recent Annual Report on Form 10-K.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Adequate coverage and reimbursement in the United States and other markets is essential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 reforms, including limits on price increases and subjecting an escalating number of drugs to annual price negotiations with CMS. The IRA includes several provisions that will impact our business to varying degrees, including provisions that reduced the out-of-pocket spending cap for Medicare Part D beneficiaries to $2,000 in 2025;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or indications are for that disease or condition. If a product receives multiple rare disease designations or has multiple approved indications for more than one disease or condition, it may not qualify for the orphan drug exemption. On July 4, 2025, the One Big Beautiful Bill Act (“OBBBA”) was signed into law in the United States. Although we are still evaluating the impact of the OBBBA on the provisions of the IRA and on our business, the OBBBA contains a variety of provisions that could impact our business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be sure whether additional legislation or rule-making related to the IRA will be issued or enacted, how insurance pharmacy benefit managers and other insurance providers that manage benefits for Medicare recipients will react to the IRA, or what impact, if any, such additional changes will have on the insurance coverage and profitability of our products or any of our product candidates, if approved for commercial use, in the future. The full effect of the IRA on our business and the healthcare industry in general is not yet known. The IRA or other government efforts to reduce the price of prescription drugs or to limit the amount that governments pay for healthcare products and services could result in additional pricing pressure and have a significant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data privacy and security risks, and our actual or perceived failure to comply with regulations and other legal obligations related to privacy and data protection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may be subject to legal obligations at the federal, state, and local level related to privacy and data protection, as described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Compliance with stringent and evolving U.S.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(“CCPA”), which gives California residents expanded rights to access and require deletion of their personal data, opt out of certain personal data sharing, and receive detailed information about how their personal data is used. The CCPA provides for civil penalties of up to $7,500 per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we may maintain about California residents.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also may be subject to the General Data Protection Regulation (“GDPR”) in the European Economic Area (“EEA”) and similar legislation in the United Kingdom and Switzerland. See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and “</w:t>
      </w:r>
      <w:r>
        <w:rPr>
          <w:rFonts w:ascii="Times New Roman;serif" w:hAnsi="Times New Roman;serif"/>
          <w:b w:val="false"/>
          <w:i/>
          <w:color w:val="000000"/>
          <w:sz w:val="20"/>
        </w:rPr>
        <w:t>Risks Relating to Our Business—Risks Relating to International Operations—Our actual or perceived failure to comply with European governmental laws and regulations and other legal obligations related to privacy, data protection and information security could harm our business</w:t>
      </w:r>
      <w:r>
        <w:rPr>
          <w:color w:val="000000"/>
        </w:rPr>
        <w:t xml:space="preserve">” </w:t>
      </w:r>
      <w:r>
        <w:rPr>
          <w:rFonts w:ascii="Times New Roman;serif" w:hAnsi="Times New Roman;serif"/>
          <w:b w:val="false"/>
          <w:color w:val="000000"/>
          <w:sz w:val="20"/>
        </w:rPr>
        <w:t>in this section for additional discussion of privacy laws and regulations. Failure to comply with these laws and regulations could result in government enforcement actions, private litigation, or harm to our reputation and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Despite our efforts, our personnel or third parties on whom we rely may fail to comply with such data privacy and security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because of our use of hazardous materials, we violate any environmental controls or regulations that apply to such materials, we may incur substantial costs and expenses in our remediation efforts.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Intellectual Property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adequately protect or enforce our intellectual property rights, the value of those rights would diminish, and if we fail to secure the rights to patents of others, it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 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secrets to protect technology in cases when we believe patent protection is not appropriate or obtainable. However, trade secrets are difficult to protect. In addition, increasing restrictions on non-compete agreements could increase the difficulty of protecting certain proprietary information. If we cannot maintain the confidentiality of our technology and other confidential information in connection with our collaborators and advisors, our ability to receive patent protection or protect our proprietary information may be imperiled.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involved in legal proceedings to protect or enforce our patents, the patents of our partners or our other intellectual property rights, which could be expensive, time-consuming and unsuccessful.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Competitors may infringe or otherwise violate our patents, the patents of our licensors or our other intellectual property rights, or may design around our patent claims to produce competitive products that fall outside the scope of our patents. For example, a third party may develop a competitive drug that is similar to one or more of our products or product candidates but that has a different composition that falls outside the scope of our patent protection.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after the earliest effective filing date,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as described under “</w:t>
      </w:r>
      <w:r>
        <w:rPr>
          <w:rFonts w:ascii="Times New Roman;serif" w:hAnsi="Times New Roman;serif"/>
          <w:b w:val="false"/>
          <w:i/>
          <w:color w:val="000000"/>
          <w:sz w:val="20"/>
        </w:rPr>
        <w:t>Business—Government Regulation—FDA Regulation—Abbreviated New Drug Applications for Generic Drugs</w:t>
      </w:r>
      <w:r>
        <w:rPr>
          <w:color w:val="000000"/>
        </w:rPr>
        <w:t xml:space="preserve">” </w:t>
      </w:r>
      <w:r>
        <w:rPr>
          <w:rFonts w:ascii="Times New Roman;serif" w:hAnsi="Times New Roman;serif"/>
          <w:b w:val="false"/>
          <w:color w:val="000000"/>
          <w:sz w:val="20"/>
        </w:rPr>
        <w:t xml:space="preserve">in Part I, Item 1 of our most recent Annual Report on Form 10-K, third parties may not file an ANDA for a generic drug with the FDA until the expiration of five years following the original product approval unless the submission is accompanied by a Paragraph IV certification, in which case third parties may submit an ANDA four years following the original product approval (referred to as the “NCE-1 date”). As the NCE-1 date for ORLADEYO was in December 2024, we anticipate that third parties will challenge our applicable patents, which may result in our initiation of patent infringement litigation in response to such challenge. For example, in January 2025, we received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val="false"/>
          <w:color w:val="000000"/>
          <w:sz w:val="20"/>
        </w:rPr>
        <w:t>Paragraph IV notice of certification from Annora advising that Annora has submitted an ANDA to the FDA seeking approval to manufacture, use or sell a generic version of ORLADEYO in the United States prior to the expiration of three patents listed in the FDA’s Orange Book, which expire in 2039</w:t>
      </w:r>
      <w:r>
        <w:rPr>
          <w:rFonts w:ascii="Times New Roman;serif" w:hAnsi="Times New Roman;serif"/>
          <w:b w:val="false"/>
          <w:color w:val="000000"/>
          <w:sz w:val="20"/>
          <w:shd w:fill="FFFFFF" w:val="clear"/>
        </w:rPr>
        <w:t xml:space="preserve">. On March 10, 2025, we ﬁled a patent infringement lawsuit in the United States District Court for the District of Delaware against the Defendants (as defined above) asserting infringement of the challenged patents arising from Annora’s ANDA filing with the FDA. </w:t>
      </w:r>
      <w:r>
        <w:rPr>
          <w:rFonts w:ascii="Times New Roman;serif" w:hAnsi="Times New Roman;serif"/>
          <w:b w:val="false"/>
          <w:color w:val="000000"/>
          <w:sz w:val="20"/>
        </w:rPr>
        <w:t xml:space="preserve">For further information, </w:t>
      </w:r>
      <w:r>
        <w:rPr>
          <w:rFonts w:ascii="Times New Roman;serif" w:hAnsi="Times New Roman;serif"/>
          <w:b w:val="false"/>
          <w:color w:val="000000"/>
          <w:sz w:val="20"/>
          <w:shd w:fill="FFFFFF" w:val="clear"/>
        </w:rPr>
        <w:t>see the section titled “</w:t>
      </w:r>
      <w:r>
        <w:rPr>
          <w:rFonts w:ascii="Times New Roman;serif" w:hAnsi="Times New Roman;serif"/>
          <w:b w:val="false"/>
          <w:i/>
          <w:color w:val="000000"/>
          <w:sz w:val="20"/>
          <w:shd w:fill="FFFFFF" w:val="clear"/>
        </w:rPr>
        <w:t>Legal Proceedings</w:t>
      </w:r>
      <w:r>
        <w:rPr>
          <w:color w:val="000000"/>
          <w:shd w:fill="FFFFFF" w:val="clear"/>
        </w:rPr>
        <w:t xml:space="preserve">” </w:t>
      </w:r>
      <w:r>
        <w:rPr>
          <w:rFonts w:ascii="Times New Roman;serif" w:hAnsi="Times New Roman;serif"/>
          <w:b w:val="false"/>
          <w:color w:val="000000"/>
          <w:sz w:val="20"/>
          <w:shd w:fill="FFFFFF" w:val="clear"/>
        </w:rPr>
        <w:t xml:space="preserve">included in Part II, Item 1 of this report </w:t>
      </w:r>
      <w:r>
        <w:rPr>
          <w:rFonts w:ascii="Times New Roman;serif" w:hAnsi="Times New Roman;serif"/>
          <w:b w:val="false"/>
          <w:color w:val="000000"/>
          <w:sz w:val="20"/>
        </w:rPr>
        <w:t>and “</w:t>
      </w:r>
      <w:r>
        <w:rPr>
          <w:rFonts w:ascii="Times New Roman;serif" w:hAnsi="Times New Roman;serif"/>
          <w:b w:val="false"/>
          <w:i/>
          <w:color w:val="000000"/>
          <w:sz w:val="20"/>
        </w:rPr>
        <w:t>Note 14—Commitments and Contingencies”</w:t>
      </w:r>
      <w:r>
        <w:rPr>
          <w:color w:val="000000"/>
        </w:rPr>
        <w:t xml:space="preserve"> </w:t>
      </w:r>
      <w:r>
        <w:rPr>
          <w:rFonts w:ascii="Times New Roman;serif" w:hAnsi="Times New Roman;serif"/>
          <w:b w:val="false"/>
          <w:color w:val="000000"/>
          <w:sz w:val="20"/>
        </w:rPr>
        <w:t>in the Notes to Condensed Consolidated Financial Statements in Part I, Item 1 of this report. We intend to vigorously defend our intellectual property rights protecting ORLADEYO. We cannot predict how any additional third party would address our listed patents, whether we would sue on any such patents, or the outcome of any such suit. However, litigation to enforce or defend intellectual property rights is complex, costly, and involves significant commitments of management’s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the degree and range of protection any patents will afford against competitors with similar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and when patents will 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patents do issue, we cannot be sure that we will be able to adequately defend such patents and whether or not we will be able to adequately enforce such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others will obtain patents claiming aspects similar to those covered by our patent applications.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USPTO or other foreign patent office upholds patents issued to others or if the USPTO grants patent applications filed by others, we may have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obtain licenses or redesign our products or processes to avoid infringement;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stop using the subject matter claimed in those patents;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damages.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We have diversified our pipeline to include the development of protein therapeutics, which may create additional risks and challenges.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diversified our pipeline beyond small-molecule medicines to develop protein therapeutics. The development of protein therapeutics may create additional risks and challenges, including,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patent protection for protein therapeutics may be narrower in scope than for our small-molecule medicines, and our patents and patent applications may not adequately protect our intellectual property, provide exclusivity for our protein therapeutic candidates or prevent others from designing around our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formulation issues with our protein therapeutic candidates may require redevelopment of the formulation, which may be time-consuming or unsuccessful;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patent applications that we own or in-license may fail to result in issued patents with claims that cover our protein therapeutic candidates in the United States or in other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competitors may be able to more easily develop and seek patent protection on similar protein therapeutic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orally-administered drugs are often less expensive and present a reduced treatment burden as compared to protein therapeutics and therefore would have competitive advantages if they were developed and shown to be safe and effective for the indication that our protein therapeutic product candidates are targeting.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U.S. patent law could diminish the value of patents in general, thereby impairing our ability to protect our products.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Product Liability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an inherent risk of liability in the event that the use or misuse of our products or product candidates results in personal injury or death, and our product liability insurance coverage may be insufficient.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liabilities that substantially exceed our product liability insurance, which we would then be required to pay from other sources, if available;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increase of our product liability insurance rates or the inability to maintain insurance coverage in the future on acceptable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withdrawal of clinical trial volunteers or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damage to our reputation and the reputation of our products, resulting in lower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investigations that could require costly recalls or product modifications;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litigation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diversion of management’s attention from managing our business.</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Contractual Arrangements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face risks related to our U.S. Government contracts, which may create a disadvantage and additional risks to us.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September 2024, we entered into a contract with ASPR for the procurement of up to 95,625 doses over a five-year period of RAPIVAB for the treatment of influenza. The contract is structured with a 12-month base ordering period and four optional 12-month ordering periods, which the U.S. Government can exercise on an annual basis. While ASPR executed the first ordering period, on May 15, 2025, ASPR notified the Company of its intent to not exercise any additional optional ordering periods available under the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contracts with the Biomedical Advanced Research and Development Authority within the U.S. Department of Health and Human Services (“BARDA/HHS”) and the National Institute of Allergy and Infectious Diseases within HHS (“NIAID/HHS”) for the development of galidesivir as a treatment for diseases caused by RNA pathogens, including Marburg virus disease, Yellow Fever and Ebola virus disease. In contracting with U.S. Government agencies, we became subject to various U.S. Government contract requirements, including general clauses for a cost-reimbursement research and development contract, which may limit our reimbursement. While all U.S. Government funding for galidesivir expired in 2022, we may still face risks related to our U.S. Government contracts pending final close out of these contracts.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U.S. Government contracts typically contain a number of extraordinary provisions that would not typically be found in commercial contracts, and which may create a disadvantage and additional risks to us as compared to competitors that do not have U.S. Government contracts. As a U.S. Government contractor, we are subject to an increased risk of investigations, criminal prosecution, civil fraud, whistleblower lawsuits and other legal actions and liabilities as compared to private sector commercial companies, and we could suffer serious harm to our reputation if allegations of impropriety were made against us. We could be subject to severe penalties, including legal actions and liabilities, in the event that we are unable to comply with delivery requirements or any other provision of a U.S. Government contract.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reach milestones or to make annual minimum payments or otherwise breach our obligations under our license agreements, our licensors may terminate our agreements with them and/or seek additional remedies.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2011, JPR Royalty Sub LLC, our wholly-owned subsidiary (“Royalty Sub”), issued $30.0 million in aggregate principal amount of PhaRMA Senior Secured 14.0% Notes due on December 1, 2020 (the “PhaRMA Notes”). The PhaRMA Notes are secured principally by (i) certain royalty and milestone payments under our agreement with Shionogi, pursuant to which Shionogi licensed from us the rights to market peramivir in Japan and Taiwan and (ii)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pledge by us of our equity interest in Royalty Sub.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of the continuing events of default under the PhaRMA Notes or the failure by Royalty Sub to repay the PhaRMA Notes at maturity.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Royalty Sub continues to pay the holders of the PhaRMA Notes any royalty payments received from Shionogi, which are immaterial, we wrote off the balance due under the PhaRMA Notes to other income as a debt extinguishment as of December 31, 2021.</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incurred significant indebtedness, which could adversely affect our business. Additionally, the Pharmakon Loan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On April 17, 2023, we entered into the $450.0 million Pharmakon Loan Agreement (the “Pharmakon Loan Agreement”) with BioPharma Credit Investments V (Master) LP and BPCR Limited Partnership, as lenders, and BioPharma Credit PLC, as collateral agent for the lenders, and closed on an initial term loan thereunder in the principal amount of $300.0 million. As of June 30, 2025, we had an outstanding principal balance under the Pharmakon Loan Agreement of $248.7 million, inclusive of the Pharmakon PIK Interest Payments (as defined in “</w:t>
      </w:r>
      <w:r>
        <w:rPr>
          <w:rFonts w:ascii="Times New Roman;serif" w:hAnsi="Times New Roman;serif"/>
          <w:b w:val="false"/>
          <w:i/>
          <w:color w:val="000000"/>
          <w:sz w:val="20"/>
        </w:rPr>
        <w:t>Note 8—Debt</w:t>
      </w:r>
      <w:r>
        <w:rPr>
          <w:color w:val="000000"/>
        </w:rPr>
        <w:t xml:space="preserve">” </w:t>
      </w:r>
      <w:r>
        <w:rPr>
          <w:rFonts w:ascii="Times New Roman;serif" w:hAnsi="Times New Roman;serif"/>
          <w:b w:val="false"/>
          <w:color w:val="000000"/>
          <w:sz w:val="20"/>
        </w:rPr>
        <w:t>in the Notes to the Condensed Consolidated Financial Statements included in Part I, Item 1 of this report). Under the Pharmakon Loan Agreement, we will be required to pay to Pharmakon, for the account of the lenders, a prepayment premium or a make-whole premium, as applicable, plus certain fees or expenses set forth in the Pharmakon Loan Agreement in the event that we prepay, or are required to prepay, voluntarily or pursuant to a mandatory prepayment obligation under the Pharmakon Loan Agreement (e.g., upon a change of control of the Company and specified other events, subject to certain exceptions), all or part of the then-outstanding term loans under the Pharmakon Loan Agreement, in each case, subject to certain exceptions set forth in the Pharmakon Loan Agreement. For example, on April 18, 2025 and July 24, 2025, we made a partial prepayment of $75.0 million and $50.0 million, respectively, of the outstanding principal amount under the Pharmakon Loan Agreement, in addition to a prepayment premium and certain other fees and expenses.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indebtedness could have important consequences to our stockholders. For example, it:</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increases our vulnerability to adverse general economic or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flexibility in planning for, or reacting to, changes in our business or the industry in which we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makes us more vulnerable to increases in interest rates, as borrowings under the Pharmakon Loan Agreement accrue interest at variable, uncapped rates, such that increases in interest rates will increase the associated interest payments that we are required to make on outstanding borrowings;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requires us to dedicate a portion of our cash flow from operations to interest payments, limiting the availability of cash for other purposes;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our ability to obtain additional financing or refinancing in the future for working capital or other purposes;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places us at a competitive disadvantage compared to our competitors that have less indebtedness.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Furthermore, the Pharmakon Loan Agreement contains various covenants that limit our ability to engage in specified types of transactions. Subject to certain exceptio</w:t>
      </w:r>
      <w:r>
        <w:rPr>
          <w:rFonts w:ascii="Times New Roman;serif" w:hAnsi="Times New Roman;serif"/>
          <w:b w:val="false"/>
          <w:color w:val="000000"/>
          <w:sz w:val="20"/>
          <w:shd w:fill="FFFFFF" w:val="clear"/>
        </w:rPr>
        <w:t>ns, these covenants limit our ability to, among other things, dispose of assets; engage in certain mergers, acquisitions, and similar</w:t>
      </w:r>
      <w:r>
        <w:rPr>
          <w:color w:val="000000"/>
        </w:rPr>
        <w:t xml:space="preserve"> </w:t>
      </w:r>
      <w:r>
        <w:rPr>
          <w:rFonts w:ascii="Times New Roman;serif" w:hAnsi="Times New Roman;serif"/>
          <w:b w:val="false"/>
          <w:color w:val="000000"/>
          <w:sz w:val="20"/>
        </w:rPr>
        <w:t>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covenants contained in the Pharmakon Loan Agreement could cause us to be unable to pursue business opportunities that we or our stockholders may consider beneficial without the lenders’ permission or without repaying all outstanding obligations under the Pharmakon Loan Agreement.</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breach of any of these covenants could result in an event of default under the Pharmakon Loan Agreement. An event of default will also occur if, among other things, we fail to pay amounts due under the Pharmakon Loan Agreement, we fail to repay certain other indebtedness having an aggregate principal amount in excess of a threshold amount, an insolvency event occurs with respect to us, judgments for the payment of money in excess of a threshold amount are entered into against us, a material adverse change in our business, assets, properties, liabilities, or condition occurs, or a material impairment of our ability to perform our obligations under the Pharmakon Loan Agreement occurs, certain negative regulatory events occur, including, without limitation, certain withdrawal events with respect to ORLADEYO, or we fail to make required payments under our Royalty Purchase Agreements. In the case of a continuing event of default under the Pharmakon Loan Agreement, the lenders under the Pharmakon Loan Agreement could elect to declare all amounts outstanding to be immediately due and payable, proceed against the collateral in which we granted to the lenders a security interest, or otherwise exercise the rights of a secured creditor. Amounts outstanding under the Pharmakon Loan Agreement are secured by a security interest in, subject to certain exceptions, substantially all of our assets. Because substantially all of our assets are pledged to secure the Pharmakon Loan Agreement obligations, our ability to incur additional secured indebtedness or to sell or dispose of assets to raise capital may be impaired, which could have an adverse effect on our financial flexibility.</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International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International expansion of our business exposes us to business, legal, regulatory, political, operational, financial, and economic risks.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strategy includes international expansion, including the commercialization of products outside of the United States. In addition, we currently conduct clinical studies and regulatory activities and have hired, and expect to continue hiring, employees outside of the United States. Doing business internationally involves a number of risks, including, but not limited to:</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multiple, conflicting, and changing laws and regulations such as privacy and data regulations, transparency regulations, tax laws, export and import restrictions, employment laws, regulatory requirements, and other governmental approvals, permits, and licenses;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introduction of new health authority requirements and/or changes in health authority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or our partners to obtain and maintain regulatory approvals for the use of our products in various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and difficulties in obtaining and maintaining protection for, and enforcing,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in staffing and managing foreign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government payors, or patient self-pay systems;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limits on our ability to penetrate international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and political and economic instability, including wars, terrorism, political unrest, results of certain elections and votes, actual or threatened public health emergencies and outbreak of disease, epidemics or pandemics (e.g., the COVID-19 pandemic), boycotts, adoption or expansion of government trade restrictions, and other business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expenses including, among others, expenses for travel, translation, and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and compliance risks relating to doing business with any entity that is subject to sanctions administered by the Office of Foreign Assets Control of the U.S. Department of the Treasury.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of these factors could significantly harm our international expansion of operations and adversely affect our business and results of operations.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Foreign currency exchange rate fluctuations could have an adverse impact on our results of operations, financial position, and cash flows.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We also have foreign currency exposure to fluctuations in other foreign currencies, such as the Swiss Franc, Danish Krone, Swedish Krona, Norwegian Krone, Japanese Yen and Canadian Dollar. Changes in the value of these currencies relative to the U.S. dollar may impact our condensed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 more significant. See “</w:t>
      </w:r>
      <w:r>
        <w:rPr>
          <w:rFonts w:ascii="Times New Roman;serif" w:hAnsi="Times New Roman;serif"/>
          <w:b w:val="false"/>
          <w:i/>
          <w:color w:val="000000"/>
          <w:sz w:val="20"/>
        </w:rPr>
        <w:t>Quantitative and Qualitative Disclosures about Market Risk—Foreign Currency Risk</w:t>
      </w:r>
      <w:r>
        <w:rPr>
          <w:color w:val="000000"/>
        </w:rPr>
        <w:t xml:space="preserve">” </w:t>
      </w:r>
      <w:r>
        <w:rPr>
          <w:rFonts w:ascii="Times New Roman;serif" w:hAnsi="Times New Roman;serif"/>
          <w:b w:val="false"/>
          <w:color w:val="000000"/>
          <w:sz w:val="20"/>
        </w:rPr>
        <w:t>in Part I, Item 3 of this report for additional information about our foreign currency risk.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actual or perceived failure to comply with European governmental laws and regulations and other legal obligations related to privacy, data protection and information security could harm our business.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Outside the United States, an increasing number of laws and regulations may govern data privacy and security. EU member states, the United Kingdom, Switzerland and other countries have adopted data protection laws and regulations, which impose significant compliance obligations. These laws include the GDPR and similar national legislation within the EEA, the United Kingdom GDPR, Switzerland’s Federal Data Protection Act, the EU Clinical Trials Regulation, and the e-Privacy Directive (2002/58/EC), and are discussed in more detail in “</w:t>
      </w:r>
      <w:r>
        <w:rPr>
          <w:rFonts w:ascii="Times New Roman;serif" w:hAnsi="Times New Roman;serif"/>
          <w:b w:val="false"/>
          <w:i/>
          <w:color w:val="000000"/>
          <w:sz w:val="20"/>
        </w:rPr>
        <w:t>Business—Government Regulation—Data Privacy and Security Laws</w:t>
      </w:r>
      <w:r>
        <w:rPr>
          <w:color w:val="000000"/>
        </w:rPr>
        <w:t xml:space="preserve">” </w:t>
      </w:r>
      <w:r>
        <w:rPr>
          <w:rFonts w:ascii="Times New Roman;serif" w:hAnsi="Times New Roman;serif"/>
          <w:b w:val="false"/>
          <w:color w:val="000000"/>
          <w:sz w:val="20"/>
        </w:rPr>
        <w:t>in Part I, Item 1 of our most recent Annual Report on Form 10-K. Failure to comply with the requirements of these laws may result in significant fines. For example, noncompliance with the GDPR or related national data protection laws, which may deviate from the GDPR, may result in significant fines of up to 4.0% of global revenues, or €20.0 million, whichever is greater.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such fines, failure to comply with the requirements of the GDPR or similar national legislation may result in temporary or definitive bans on data processing and other corrective actions and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instructions, and conduct diligence to ensure that they have sufficient technical and organizational security measures in place.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evolving laws regarding the transfer of personal data to the United States and other countries also requires increased resources and may result in increased exposure to regulatory actions, fines and penalties, the inability to transfer data and work with partners, vendors and other third parties, and injunctions against our processing or transferring of personal data necessary to operate our business. We are also subject to evolving European privacy laws on electronic marketing and cookies.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regulatory investigations or actions; litigation; fines and penalties; disruptions of our business operations; reputational harm; loss of revenue or profits; and other adverse business consequences.</w:t>
      </w:r>
    </w:p>
    <w:p>
      <w:pPr>
        <w:pStyle w:val="TextBody"/>
        <w:bidi w:val="0"/>
        <w:spacing w:lineRule="auto" w:line="288" w:before="200" w:after="283"/>
        <w:jc w:val="left"/>
        <w:rPr/>
      </w:pPr>
      <w:r>
        <w:rPr>
          <w:rFonts w:ascii="Times New Roman;serif" w:hAnsi="Times New Roman;serif"/>
          <w:b/>
          <w:i/>
          <w:color w:val="000000"/>
          <w:sz w:val="20"/>
        </w:rPr>
        <w:t>The United Kingdom</w:t>
      </w:r>
      <w:r>
        <w:rPr>
          <w:color w:val="000000"/>
        </w:rPr>
        <w:t>’</w:t>
      </w:r>
      <w:r>
        <w:rPr>
          <w:rFonts w:ascii="Times New Roman;serif" w:hAnsi="Times New Roman;serif"/>
          <w:b/>
          <w:i/>
          <w:color w:val="000000"/>
          <w:sz w:val="20"/>
        </w:rPr>
        <w:t>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 candidates in the United Kingdom and/or the European Union and restrict our ability to generate revenues and achieve and sustain profitability.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Technology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facilities, or the facilities of our third-party vendors, incur damage or power is lost for a significant length of time, our business will suffer.</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and our third-party vendors store commercial product, clinical and stability samples, and manufacturing data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store most of our preclinical and clinical data at our facilities. While duplicate copies of most clinical data are secured off-site, and a significant portion of our data is included in regular backups of our systems, we could lose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important data if our facilities incur damage, or if our vendor data systems fail, suffer damage or are destroyed.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Cyber incidents and related disruptions in our or our third-party vendors’ information technology systems could adversely affect our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increasingly dependent on information technology systems to operate our business. In addition, the FDA and comparable foreign regulatory authorities regulate, among other things, the record keeping and storage of data pertaining to potential pharmaceutical products. Like other companies in our industry, our information technology systems and infrastructure (as well as those of our third-party providers) and our lab equipment and operations technology may be vulnerable to cyber incidents, intrusions, and other similar activities that threaten the confidentiality, integrity, and availability of our information. These threats come from a variety of sources, including by computer hackers, foreign governments, foreign companies, or competitors, or may be breached by employee error, malfeasance or other disruption. These threats are prevalent, continue to rise, and are becoming increasingly difficult to detect. Recently, there have been reports of disruptions in billing and data systems in healthcare (e.g., the cybersecurity incident affecting Change Healthcare in February 2024). Such cybersecurity events which materially disrupt the healthcare system upon which our business relies could adversely affect our business if such disruption is widespread and continues for an extended period of time.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Cyber incidents could also include the use of artificial intelligence (“AI”) and machine learning to launch more automated, targeted and coordinated attacks on targets. Cyber incidents may lead to operational outages, loss of intellectual property due to industrial espionage, malware, and financial or data attacks via social engineering.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we rely on third-party service providers and technologies to operate significant information technology systems and business infrastructure, and we currently use these providers to perform business critical information technology and business services. Supply-chain attacks have increased in frequency and severity, and we cannot guarantee that third parties’ infrastructure in our supply chain or our third-party partners’ supply chains have not been or will not be compromised.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experienced cybersecurity threats and incidents, which to date have not had a material impact on our reputation, business, financial condition, or operations; however; there is no assurance that such impacts will not be material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Any compromise of our data security could also result in a violation of applicable privacy and other laws, significant legal, regulatory, and financial exposure, damage to our reputation, loss or misuse of the information and a loss of confidence in our data security measures, which could harm our business. Loss or misuse of our intellectual property, clinical trial data, or commercially sensitive data could adversely impact our business. While we have implemented security measures designed to protect against security incidents and a significant portion of our data is included in regular backups of our systems, there can be no assurance that our efforts to protect our data and information technology systems will prevent breakdowns or breaches in our systems, or those of third parties with which we do business, and any such events could adversely affect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From time to time, we use artificial intelligence in our business, and challenges with properly managing its use could adversely affect our business.</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increasing use of AI and machine learning technology in the biopharmaceutical industry, combined with an uncertain regulatory environment, presents new risks and challenges. From time to time, we adopt and integrate AI solutions into our systems for specific use cases reviewed by legal and information security, and applications of AI may become important in our operations over time. Our vendors may incorporate AI tools into their offerings without disclosing this use to us, and the providers of these tools may not meet existing or rapidly evolving regulatory or industry standards with respect to privacy and data protection. Moreover, the use of AI-based software may lead to the inadvertent release of confidential or proprietary information, which may adversely impact our ability to realize the benefit of our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property, cause us to incur liabilities as the result of any breaches of confidentiality or impact our ability to comply with data security and privacy laws. Further, as the regulatory framework for these technologies evolves, it is possible that new laws and regulations will be adopted, or that existing laws and regulations may be interpreted in ways that would affect our business, including as a result of the cost to comply with such laws or regulations. Our competitors or other third parties may also incorporate AI into their businesses more efficiently than us, which could impair our ability to compete effectively and adversely affect our results of operations. The rapid innovation and developments surrounding AI, including potential government regulation of AI, may require significant resources to develop, test and maintain our implementations of AI.</w:t>
      </w:r>
    </w:p>
    <w:p>
      <w:pPr>
        <w:pStyle w:val="TextBody"/>
        <w:bidi w:val="0"/>
        <w:spacing w:lineRule="auto" w:line="288" w:before="20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Operational Risks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Health epidemics or pandemics could materially adversely affect our business, operations, clinical development or commercialization plans and timelines, or that of third parties with whom we conduct business, including, without limitation, our development partners, manufacturers, CROs, and others, as well as the regulatory and government agencies with whom we work.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health epidemic or pandemic, such as the COVID-19 pandemic, and related government orders or responsive business policies and procedures, could cause disruptions to our business, operations, and clinical development or commercialization plans and timelines, as well as the business and operations of third parties with whom we conduct business.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operations or those of third parties with whom we conduct business, such as development partners, manufacturers, CROs and others, are impaired or curtailed as a result of such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clinical trials were affected by the COVID-19 pandemic and we may experience similar delays or interruptions due to health epidemics or pandemics in the future, which could adversely impact our clinical trial operations. Health epidemics or pandemics could also affect the operations of regulators and other health and governmental authorities, which could result in delays of reviews and approvals, inspections, or other regulatory activities, including as we continue to expand internationally and bring ORLADEYO to additional global markets.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global impact of a health epidemic or pandemic, such as the COVID-19 pandemic, could also materially affect global economies and financial markets, which could reduce our ability to access the equity or debt capital markets or obtain other sources of capital if needed, which could negatively affect our liquidity. In addition, a recession or market correction could materially affect our business and the value of our common stock. Health epidemics or pandemics could also have the effect of heightening many of the other risks described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Our business, operations, clinical development or commercialization plans and timelines, and access to capital could be adversely affected by unpredictable and unstable market and economic conditions.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operations, clinical development or commercialization plans and timelines, and access to capital could be adversely affected by unpredictable and unstable market and economic conditions, including as a result of inflation, increased interest rates, disruption or instability in the banking industry, foreign exchange rate fluctuations, potential U.S. Government shutdowns, instability in connection with changes in the presidential administration in the United States, geopolitical instability, actual or threatened public health emergencies, or outbreaks of disease, epidemics or pandemics (such as the COVID-19 pandemic).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Unstable market and economic conditions could materially affect our ability to access the equity or debt capital markets or obtain other sources of capital if needed in the future, which could negatively affect our liquidity. In addition, a recession or market correction could materially affect our business and the value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Market and economic conditions continue to evolve, with the ultimate impacts being uncertain and subject to change. These effects could be material, and we will continue to monitor the economic climate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report.</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Insurance coverage is increasingly more costly and difficult to obtain or maintain.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we fail to retain our existing key personnel or fail to attract and retain additional key personnel, the development of our product candidates, the commercialization of our products, and the related expansion of our business may be delayed or stopped.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may harm our business because we rely upon these personnel for many important functions of our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If our risk management committee and other compliance methods are not effective, our business, financial condition and operating results may be adversely affected.</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ability to identify, manage and respond to the various risks related to our business is largely dependent on our established and maintained compliance, risk, audit and reporting systems and procedures. The Board of Directors has ultimate responsibility for risk oversight of the Company and carries out this duty through its committees. The Board of Directors may delegate oversight authority with respect to certain issues in a committee’s applicable areas of expertise. At the Company level, our senior management team similarly monitors risk through the risk management committee and other sub-committees focused on specific areas of risk (e.g., cybersecurity, quality assurance). Membership of the risk management committee consists primarily of key department heads who are asked to bring to such committee relevant items for discussion that they or their teams have identified at the numerous sub-committees these individuals chair or attend. The risk management committee, along with the other sub-committees in the Company, identifies key risks and mitigation strategies which are reported directly to our senior management, the Audit Committee and to the full Board of Directors on a regular basis.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our policies, procedures, and compliance systems, including our risk management committee, are not effective, or if we are not successful in monitoring or evaluating the risks to which we are or may be exposed, our business, reputation, financial condition and operating results could be materially adversely affected. We cannot provide assurance that our policies and procedures will always be effective, or that our management or the risk management committee would be able to identify any such ineffectiveness. If our compliance and risk management strategies are not effective, our business, financial condition and operating results may be adversely affected.</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Future acquisitions, strategic investments, partnerships, alliances, or divestitures could be difficult to identify and integrate, divert the attention of management, disrupt our business, dilute stockholder value, materially change the risk profile of the Company and could fail to meet our expectations, any of which could adversely affect our operating results and financial condition.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seek to acquire or invest in businesses, products or technologies that we believe could complement or expand our portfolio or otherwise offer growth opportunities. The pursuit of potential acquisitions may divert the attention of management and cause us to incur various expenses in identifying, investigating and pursuing businesses or products. In addition, we may not be able to find and identify desirable acquisition targets or be successful in entering into an agreement with any particular target or consummating any such agreement. Even if we do consummate an acquisition, in connection therewith we may be required to issue equity (thereby diluting our current stockholders) or debt, we may not be able to integrate successfully the acquired personnel, operations and technologies, or effectively manage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combined business following the acquisition, or the acquired business could otherwise fail to meet our expectations, which, in each case, could have a material adverse effect on our business projections, financial condition, results of operations and prospects.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In addition, we may divest or license all or a portion of certain business or product categories, which could cause a decline in revenue or profitability and may make our financial results more volatile. We may be unable to complete any such divestiture or license on terms favorable to us, within the expected timeframes, or at all. We may have continued financial exposure to divested or licensed businesses following the completion of any such transaction, including increased costs due to potential litigation, contingent liabilities and indemnification of the buyer or licensee related to, among other things, lawsuits, regulatory matters or tax liabilities. Such divestitures or licenses may also divert management’s attention from our core businesses and lead to potential issues with employees, customers or suppliers. See “</w:t>
      </w:r>
      <w:r>
        <w:rPr>
          <w:rFonts w:ascii="Times New Roman;serif" w:hAnsi="Times New Roman;serif"/>
          <w:b w:val="false"/>
          <w:i/>
          <w:color w:val="000000"/>
          <w:sz w:val="20"/>
        </w:rPr>
        <w:t>Risks Relating to the Pending Transaction with Neopharmed Gentili S.p.A.</w:t>
      </w:r>
      <w:r>
        <w:rPr>
          <w:color w:val="000000"/>
        </w:rPr>
        <w:t xml:space="preserve">” </w:t>
      </w:r>
      <w:r>
        <w:rPr>
          <w:rFonts w:ascii="Times New Roman;serif" w:hAnsi="Times New Roman;serif"/>
          <w:b w:val="false"/>
          <w:color w:val="000000"/>
          <w:sz w:val="20"/>
        </w:rPr>
        <w:t>in this section for further discussion of the potential business disruptions, financial uncertainties, and operational risks that we face while the transaction with Neopharmed to sell our European ORLADEYO Business is pending.</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business and operations could be negatively affected if we become subject to stockholder activism or hostile bids, which could cause us to incur significant expense, hinder execution of our business strategy and impact our stock price.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Risks Relating to Investing in Our Common Stock</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existing principal stockholders hold a substantial amount of our common stock and may be able to influence significant corporate decisions, which may conflict with the interest of other stockholders.</w:t>
      </w:r>
    </w:p>
    <w:p>
      <w:pPr>
        <w:pStyle w:val="TextBody"/>
        <w:bidi w:val="0"/>
        <w:spacing w:lineRule="auto" w:line="288" w:before="200" w:after="283"/>
        <w:ind w:left="0" w:right="0" w:firstLine="540"/>
        <w:jc w:val="left"/>
        <w:rPr/>
      </w:pPr>
      <w:r>
        <w:rPr>
          <w:rFonts w:ascii="Times New Roman;serif" w:hAnsi="Times New Roman;serif"/>
          <w:b w:val="false"/>
          <w:color w:val="000000"/>
          <w:sz w:val="20"/>
        </w:rPr>
        <w:t>Some of our stockholders own greater than 5% of our outstanding common stock. Our top ten stockholders own approximately</w:t>
      </w:r>
      <w:r>
        <w:rPr>
          <w:color w:val="000000"/>
          <w:shd w:fill="FFFFFF" w:val="clear"/>
        </w:rPr>
        <w:t xml:space="preserve"> </w:t>
      </w:r>
      <w:r>
        <w:rPr>
          <w:rFonts w:ascii="Times New Roman;serif" w:hAnsi="Times New Roman;serif"/>
          <w:b w:val="false"/>
          <w:color w:val="000000"/>
          <w:sz w:val="20"/>
          <w:shd w:fill="FFFFFF" w:val="clear"/>
        </w:rPr>
        <w:t xml:space="preserve">42% </w:t>
      </w:r>
      <w:r>
        <w:rPr>
          <w:rFonts w:ascii="Times New Roman;serif" w:hAnsi="Times New Roman;serif"/>
          <w:b w:val="false"/>
          <w:color w:val="000000"/>
          <w:sz w:val="20"/>
        </w:rPr>
        <w:t>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Our stock price has been, and is likely to continue to be, highly volatile, which could cause the value of an investment in our common stock to decline significantly.</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June 30, 2025, the 52-week range of the market price of our stock was from $6.02 to $11.31 per share. The following factors, in addition to other risk factors described in this section, may have, and in some cases have had, a significant impact on the market price of our common stock:</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announcements of technological innovations or new products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developments or disputes concerning patents or proprietary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dilution through sales of our common stock or other derivative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status of new or existing licensing or collaborative agreements and government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relating to the status of our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or our partners achieving or failing to achieve development milestones;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actual or potential medical results relating to products under development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publicity regarding certain public health concerns for which we are or may be developing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developments in both the United States and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public concern as to the safety of pharmaceutical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or recommendations by securities analysts and the comparison of such estimates to our actual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online automated financial platforms’ treatment or classification of our financial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public guidance;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structure of healthcare payment systems, including developments in price control legislation;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announcements by us or our competitors of significant acquisitions, strategic partnerships, divestitures (such as the pending transaction with Neopharmed), joint ventures, capital commitments or other monetization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additions or departures of key personnel or members of our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or sales of substantial amounts of our stock by existing stockholders, including officers or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economic and other external factors or other disasters or crises;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period-to-period fluctuations in our financial results.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we may not be able to produce accurate and timely financial statements, which may adversely affect investor confidence in us and our financial reporting, adversely affect our business and operating results and negatively impact the trading price of our common stock. </w:t>
      </w:r>
    </w:p>
    <w:p>
      <w:pPr>
        <w:pStyle w:val="TextBody"/>
        <w:bidi w:val="0"/>
        <w:spacing w:lineRule="auto" w:line="288" w:before="200" w:after="283"/>
        <w:ind w:left="0" w:right="0" w:firstLine="540"/>
        <w:jc w:val="left"/>
        <w:rPr/>
      </w:pPr>
      <w:r>
        <w:rPr>
          <w:rFonts w:ascii="Times New Roman;serif" w:hAnsi="Times New Roman;serif"/>
          <w:b w:val="false"/>
          <w:color w:val="000000"/>
          <w:sz w:val="20"/>
        </w:rPr>
        <w:t>As a public company, we are required to maintain effective internal control over financial reporting (as described in “</w:t>
      </w:r>
      <w:r>
        <w:rPr>
          <w:rFonts w:ascii="Times New Roman;serif" w:hAnsi="Times New Roman;serif"/>
          <w:b w:val="false"/>
          <w:i/>
          <w:color w:val="000000"/>
          <w:sz w:val="20"/>
        </w:rPr>
        <w:t>Controls and Procedures</w:t>
      </w:r>
      <w:r>
        <w:rPr>
          <w:color w:val="000000"/>
        </w:rPr>
        <w:t xml:space="preserve">” </w:t>
      </w:r>
      <w:r>
        <w:rPr>
          <w:rFonts w:ascii="Times New Roman;serif" w:hAnsi="Times New Roman;serif"/>
          <w:b w:val="false"/>
          <w:color w:val="000000"/>
          <w:sz w:val="20"/>
        </w:rPr>
        <w:t>in Part I, Item 4 of this report), and effective disclosure controls and procedures. If we identify one or more material weaknesses in our internal control over financial reporting, we will not be able to assert that our internal controls and procedures are effective. A material weakness, as defined in Rule 12b-2 under the Exchange Act, is a deficiency, or combination of deficiencies, in internal control over financial reporting such that there is a reasonable possibility that a material misstatement of annual or interim financial statements will not be prevented or detected on a timely basis. In 2023, we identified and timely reported two material weaknesses in our internal control over financial reporting, which management determined to be subsequently remediated as of December 31, 2023 and September 30, 2024,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Although we believe the financial statements included in this report fairly present, in all material respects, our financial condition, results of operations and cash flows for the periods presented in conformity with U.S. GAAP, any failure to maintain effective internal control over financial reporting could severely inhibit our ability to accurately report our financial condition, results of operations or cash flows. If our internal control over financial reporting is not effective, investors may lose confidence in the accuracy and completeness of our financial reports, the market price of our common stock could decline, and we could be subject to sanctions or investigations by Nasdaq, the SEC or other regulatory authorities.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Future sales and issuances of securities may dilute the ownership interests of our current stockholders and cause our stock price to decline.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Future sales of our common stock by us or our current stockholders into the public market could cause the market price of our stock to fall. As of July 31, 2025, there were 209,920,430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July 31, 2025, there were 46,659,214 stock options and restricted stock units outstanding and 12,976,044 shares available for issuance under our Amended and Restated Stock Incentive Plan, 5,615,859 stock options and restricted stock units outstanding and 1,681,195 shares available for issuance under our Amended and Restated Inducement Equity Incentive Plan, and 4,841,013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restricted stock units and stock awards have been, or will be, registered pursuant to registration statements on Form S-8.</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If some or all of such shares are sold or otherwise issued into the public market over a short period of time, our current stockholders’ ownership interests may be diluted and the value of all publicly traded shares is likely to decline,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anti-takeover provisions in our corporate charter documents that may result in outcomes with which you do not agree.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have never paid dividends on our common stock and do not anticipate doing so in the foreseeable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stock. We currently intend to retain all future earnings, if any, for use in the operation of our business. Accordingly, we do not anticipate paying cash dividends on our common stock in the foreseeable future.</w:t>
      </w:r>
    </w:p>
    <w:p>
      <w:pPr>
        <w:pStyle w:val="TextBody"/>
        <w:bidi w:val="0"/>
        <w:spacing w:lineRule="auto" w:line="288" w:before="200" w:after="283"/>
        <w:jc w:val="left"/>
        <w:rPr/>
      </w:pPr>
      <w:r>
        <w:rPr>
          <w:rFonts w:ascii="Times New Roman;serif" w:hAnsi="Times New Roman;serif"/>
          <w:b/>
          <w:i/>
          <w:color w:val="000000"/>
          <w:sz w:val="20"/>
        </w:rPr>
        <w:t>Our Amended and Restated By-Laws provide that the Court of Chancery of the State of Delaware will be the sole and exclusive forum for certain litigation that may be initiated by our stockholders, which may limit a stockholder</w:t>
      </w:r>
      <w:r>
        <w:rPr>
          <w:color w:val="000000"/>
        </w:rPr>
        <w:t>’</w:t>
      </w:r>
      <w:r>
        <w:rPr>
          <w:rFonts w:ascii="Times New Roman;serif" w:hAnsi="Times New Roman;serif"/>
          <w:b/>
          <w:i/>
          <w:color w:val="000000"/>
          <w:sz w:val="20"/>
        </w:rPr>
        <w:t>s ability to obtain a favorable judicial forum for such disputes with us or our directors, officers or employees.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 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of 1933, as amended, or the Exchange Act, or any other claim for which the federal courts have exclusive jurisdiction.</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wide variety of events beyond our control, such as natural disasters (including as a result of climate change), epidemic or pandemic disease outbreaks (such as the COVID-19 pandemic), trade wars, armed conflict, political unrest, government shutdowns, instability in connection with changes in the presidential administration in the United States, or other events could disrupt our business or operations or those of our development partners, manufacturers, regulatory authorities, or other third parties with whom we conduct business. These events may cause businesses and government agencies to be shut down, supply chains or trade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left"/>
        <w:rPr/>
      </w:pPr>
      <w:r>
        <w:rPr>
          <w:rFonts w:ascii="Times New Roman;serif" w:hAnsi="Times New Roman;serif"/>
          <w:b w:val="false"/>
          <w:color w:val="000000"/>
          <w:sz w:val="20"/>
        </w:rPr>
        <w:t>development and commercialization of our products and product candidates could be impaired or halted, which could have a material adverse impact on our business. See, for example, “</w:t>
      </w:r>
      <w:r>
        <w:rPr>
          <w:rFonts w:ascii="Times New Roman;serif" w:hAnsi="Times New Roman;serif"/>
          <w:b w:val="false"/>
          <w:i/>
          <w:color w:val="000000"/>
          <w:sz w:val="20"/>
        </w:rPr>
        <w:t>Risk Factors—Risks Relating to Our Business—Other Operational Risks—Our business, operations, clinical development or commercialization plans and timelines, and access to capital could be adversely affected by unpredictable and unstable market and economic conditions</w:t>
      </w:r>
      <w:r>
        <w:rPr>
          <w:rFonts w:ascii="Times New Roman;serif" w:hAnsi="Times New Roman;serif"/>
          <w:b w:val="false"/>
          <w:color w:val="000000"/>
          <w:sz w:val="20"/>
        </w:rPr>
        <w:t>.” In addition, other events, such as the Ukraine-Russia and Middle East conflicts, or rising tensions between China and Taiwan, could adversely impact our business. For example, the conflicts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We are subject to legal proceedings, which could harm our reputation or result in other losses or unexpected expenditure of time and resources.</w:t>
      </w:r>
    </w:p>
    <w:p>
      <w:pPr>
        <w:pStyle w:val="TextBody"/>
        <w:bidi w:val="0"/>
        <w:spacing w:lineRule="auto" w:line="288" w:before="200" w:after="20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 An unfavorable outcome in any such proceeding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Director and Officer Trading Arrangements</w:t>
      </w:r>
    </w:p>
    <w:p>
      <w:pPr>
        <w:pStyle w:val="TextBody"/>
        <w:bidi w:val="0"/>
        <w:spacing w:lineRule="auto" w:line="288" w:before="20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none of the Company’s directors or officers adopted or terminated a “Rule 10b5-1 trading arrangement” or “non-Rule 10b5-1 trading arrangement” (as each of those terms is defined in Item 408(a) of Regulation S-K). </w:t>
      </w:r>
    </w:p>
    <w:p>
      <w:pPr>
        <w:pStyle w:val="TextBody"/>
        <w:bidi w:val="0"/>
        <w:spacing w:before="200" w:after="283"/>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38"/>
        <w:gridCol w:w="2738"/>
        <w:gridCol w:w="391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2738" w:type="dxa"/>
            <w:tcBorders/>
            <w:vAlign w:val="center"/>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Number</w:t>
            </w:r>
          </w:p>
        </w:tc>
        <w:tc>
          <w:tcPr>
            <w:tcW w:w="9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Stock Purchase Agreement, dated as of June 27, 2025, by and among BioCryst Pharmaceuticals, Inc., BioCryst Ireland Limited and Neopharmed Gentili S.p.A. Incorporated by reference to Exhibit 2.1 to the Company’s Form 8-K filed June 30,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Third Restated Certificate of Incorporation of Registrant. Incorporated by reference to Exhibit 3.1 to the Company’s Form 8-K filed December 22, 2006.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July 24, 2007.</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3.1 to the Company’s Form 8-K filed May 7, 2014.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80"/>
                  <w:sz w:val="20"/>
                  <w:u w:val="single"/>
                </w:rPr>
                <w:t>Certificate of Elimination of the Series B Junior Participating Preferred Stock. Incorporated by reference to Exhibit 3.1 to the Company’s Form 8-K filed May 13, 202</w:t>
              </w:r>
            </w:hyperlink>
            <w:hyperlink r:id="rId7">
              <w:r>
                <w:rPr>
                  <w:rStyle w:val="InternetLink"/>
                  <w:rFonts w:ascii="Times New Roman;serif" w:hAnsi="Times New Roman;serif"/>
                  <w:b w:val="false"/>
                  <w:color w:val="000080"/>
                  <w:sz w:val="20"/>
                  <w:u w:val="single"/>
                </w:rPr>
                <w:t>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Certificate of Amendment to the Third Restated Certificate of Incorporation of Registrant. Incorporated by reference to Exhibit 3.2 to the Company’s Form 8-K filed May 13, 2020.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Amended and Restated By-Laws of BioCryst Pharmaceuticals, Inc., effective January 16, 2024. Incorporated by reference to Exhibit 3.1 to the Company’s Form 8-K filed January 18, 2024.</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80"/>
                  <w:sz w:val="20"/>
                  <w:u w:val="single"/>
                </w:rPr>
                <w:t>Consulting Agreement, dated April 9, 2025, by and between BioCryst Pharmaceuticals, Inc. and Anthony Doyle</w:t>
              </w:r>
            </w:hyperlink>
            <w:hyperlink r:id="rId11">
              <w:r>
                <w:rPr>
                  <w:rStyle w:val="InternetLink"/>
                  <w:rFonts w:ascii="Times New Roman;serif" w:hAnsi="Times New Roman;serif"/>
                  <w:b w:val="false"/>
                  <w:color w:val="000080"/>
                  <w:sz w:val="20"/>
                  <w:u w:val="single"/>
                </w:rPr>
                <w:t>. Inco</w:t>
              </w:r>
            </w:hyperlink>
            <w:hyperlink r:id="rId12">
              <w:r>
                <w:rPr>
                  <w:rStyle w:val="InternetLink"/>
                  <w:rFonts w:ascii="Times New Roman;serif" w:hAnsi="Times New Roman;serif"/>
                  <w:b w:val="false"/>
                  <w:color w:val="000080"/>
                  <w:sz w:val="20"/>
                  <w:u w:val="single"/>
                </w:rPr>
                <w:t>rporated by reference to Exhibit 10.1 to the Company</w:t>
              </w:r>
            </w:hyperlink>
            <w:hyperlink r:id="rId13">
              <w:r>
                <w:rPr>
                  <w:rStyle w:val="InternetLink"/>
                  <w:rFonts w:ascii="Times New Roman;serif" w:hAnsi="Times New Roman;serif"/>
                  <w:b w:val="false"/>
                  <w:color w:val="000080"/>
                  <w:sz w:val="20"/>
                  <w:u w:val="single"/>
                </w:rPr>
                <w:t>’</w:t>
              </w:r>
            </w:hyperlink>
            <w:hyperlink r:id="rId14">
              <w:r>
                <w:rPr>
                  <w:rStyle w:val="InternetLink"/>
                  <w:rFonts w:ascii="Times New Roman;serif" w:hAnsi="Times New Roman;serif"/>
                  <w:b w:val="false"/>
                  <w:color w:val="000080"/>
                  <w:sz w:val="20"/>
                  <w:u w:val="single"/>
                </w:rPr>
                <w:t>s Form 10-Q filed May 6, 2025</w:t>
              </w:r>
            </w:hyperlink>
            <w:hyperlink r:id="rId15">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102.htm">
              <w:r>
                <w:rPr>
                  <w:rStyle w:val="InternetLink"/>
                  <w:rFonts w:ascii="Times New Roman;serif" w:hAnsi="Times New Roman;serif"/>
                  <w:b w:val="false"/>
                  <w:color w:val="000080"/>
                  <w:sz w:val="20"/>
                  <w:u w:val="single"/>
                </w:rPr>
                <w:t>Amendment</w:t>
              </w:r>
            </w:hyperlink>
            <w:hyperlink w:anchor="bcrx-20250630x10xqxex102.htm">
              <w:r>
                <w:rPr>
                  <w:rStyle w:val="InternetLink"/>
                  <w:rFonts w:ascii="Times New Roman;serif" w:hAnsi="Times New Roman;serif"/>
                  <w:b w:val="false"/>
                  <w:color w:val="000080"/>
                  <w:sz w:val="20"/>
                  <w:u w:val="single"/>
                </w:rPr>
                <w:t xml:space="preserve"> No. 1</w:t>
              </w:r>
            </w:hyperlink>
            <w:hyperlink w:anchor="bcrx-20250630x10xqxex102.htm">
              <w:r>
                <w:rPr>
                  <w:rStyle w:val="InternetLink"/>
                  <w:rFonts w:ascii="Times New Roman;serif" w:hAnsi="Times New Roman;serif"/>
                  <w:b w:val="false"/>
                  <w:color w:val="000080"/>
                  <w:sz w:val="20"/>
                  <w:u w:val="single"/>
                </w:rPr>
                <w:t xml:space="preserve"> to the Consulting Agreement, </w:t>
              </w:r>
            </w:hyperlink>
            <w:hyperlink w:anchor="bcrx-20250630x10xqxex102.htm">
              <w:r>
                <w:rPr>
                  <w:rStyle w:val="InternetLink"/>
                  <w:rFonts w:ascii="Times New Roman;serif" w:hAnsi="Times New Roman;serif"/>
                  <w:b w:val="false"/>
                  <w:color w:val="000080"/>
                  <w:sz w:val="20"/>
                  <w:u w:val="single"/>
                </w:rPr>
                <w:t>effective</w:t>
              </w:r>
            </w:hyperlink>
            <w:hyperlink w:anchor="bcrx-20250630x10xqxex102.htm">
              <w:r>
                <w:rPr>
                  <w:rStyle w:val="InternetLink"/>
                  <w:rFonts w:ascii="Times New Roman;serif" w:hAnsi="Times New Roman;serif"/>
                  <w:b w:val="false"/>
                  <w:color w:val="000080"/>
                  <w:sz w:val="20"/>
                  <w:u w:val="single"/>
                </w:rPr>
                <w:t xml:space="preserve"> May 31, 2025, by and between BioCryst Pharmaceuticals, Inc. and </w:t>
              </w:r>
            </w:hyperlink>
            <w:hyperlink w:anchor="bcrx-20250630x10xqxex102.htm">
              <w:r>
                <w:rPr>
                  <w:rStyle w:val="InternetLink"/>
                  <w:rFonts w:ascii="Times New Roman;serif" w:hAnsi="Times New Roman;serif"/>
                  <w:b w:val="false"/>
                  <w:color w:val="000080"/>
                  <w:sz w:val="20"/>
                  <w:u w:val="single"/>
                </w:rPr>
                <w:t>Anthony Doyle.</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103.htm">
              <w:r>
                <w:rPr>
                  <w:rStyle w:val="InternetLink"/>
                  <w:rFonts w:ascii="Times New Roman;serif" w:hAnsi="Times New Roman;serif"/>
                  <w:b w:val="false"/>
                  <w:color w:val="0000FF"/>
                  <w:sz w:val="20"/>
                  <w:u w:val="single"/>
                </w:rPr>
                <w:t>Amended and Restated Employment Agreement, effective July 23, 2025, by and between BioCryst Pharmaceuticals, Inc. and Babar Ghias.</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104.htm">
              <w:r>
                <w:rPr>
                  <w:rStyle w:val="InternetLink"/>
                  <w:rFonts w:ascii="Times New Roman;serif" w:hAnsi="Times New Roman;serif"/>
                  <w:b w:val="false"/>
                  <w:color w:val="0000FF"/>
                  <w:sz w:val="20"/>
                  <w:u w:val="single"/>
                </w:rPr>
                <w:t>Amendment No. 2 to the Employment Agreement, effective August 1, 2025, by and between BioCryst Pharmaceuticals, Inc. and Charles Gayer.</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80"/>
                  <w:sz w:val="20"/>
                  <w:u w:val="single"/>
                </w:rPr>
                <w:t>BioCryst Pharmaceuticals, Inc. Stock Incentive Plan (as amended and restated as of April 21, 2025).</w:t>
              </w:r>
            </w:hyperlink>
            <w:hyperlink r:id="rId17">
              <w:r>
                <w:rPr>
                  <w:rStyle w:val="InternetLink"/>
                  <w:rFonts w:ascii="Times New Roman;serif" w:hAnsi="Times New Roman;serif"/>
                  <w:b w:val="false"/>
                  <w:color w:val="000080"/>
                  <w:sz w:val="20"/>
                  <w:u w:val="single"/>
                </w:rPr>
                <w:t xml:space="preserve"> Incorporated by reference to Exhibit 10.</w:t>
              </w:r>
            </w:hyperlink>
            <w:hyperlink r:id="rId18">
              <w:r>
                <w:rPr>
                  <w:rStyle w:val="InternetLink"/>
                  <w:rFonts w:ascii="Times New Roman;serif" w:hAnsi="Times New Roman;serif"/>
                  <w:b w:val="false"/>
                  <w:color w:val="000080"/>
                  <w:sz w:val="20"/>
                  <w:u w:val="single"/>
                </w:rPr>
                <w:t>1 to the Company</w:t>
              </w:r>
            </w:hyperlink>
            <w:hyperlink r:id="rId19">
              <w:r>
                <w:rPr>
                  <w:rStyle w:val="InternetLink"/>
                  <w:rFonts w:ascii="Times New Roman;serif" w:hAnsi="Times New Roman;serif"/>
                  <w:b w:val="false"/>
                  <w:color w:val="000080"/>
                  <w:sz w:val="20"/>
                  <w:u w:val="single"/>
                </w:rPr>
                <w:t>’</w:t>
              </w:r>
            </w:hyperlink>
            <w:hyperlink r:id="rId20">
              <w:r>
                <w:rPr>
                  <w:rStyle w:val="InternetLink"/>
                  <w:rFonts w:ascii="Times New Roman;serif" w:hAnsi="Times New Roman;serif"/>
                  <w:b w:val="false"/>
                  <w:color w:val="000080"/>
                  <w:sz w:val="20"/>
                  <w:u w:val="single"/>
                </w:rPr>
                <w:t>s F</w:t>
              </w:r>
            </w:hyperlink>
            <w:hyperlink r:id="rId21">
              <w:r>
                <w:rPr>
                  <w:rStyle w:val="InternetLink"/>
                  <w:rFonts w:ascii="Times New Roman;serif" w:hAnsi="Times New Roman;serif"/>
                  <w:b w:val="false"/>
                  <w:color w:val="000080"/>
                  <w:sz w:val="20"/>
                  <w:u w:val="single"/>
                </w:rPr>
                <w:t xml:space="preserve">orm 8-K filed June </w:t>
              </w:r>
            </w:hyperlink>
            <w:hyperlink r:id="rId22">
              <w:r>
                <w:rPr>
                  <w:rStyle w:val="InternetLink"/>
                  <w:rFonts w:ascii="Times New Roman;serif" w:hAnsi="Times New Roman;serif"/>
                  <w:b w:val="false"/>
                  <w:color w:val="000080"/>
                  <w:sz w:val="20"/>
                  <w:u w:val="single"/>
                </w:rPr>
                <w:t>1</w:t>
              </w:r>
            </w:hyperlink>
            <w:hyperlink r:id="rId23">
              <w:r>
                <w:rPr>
                  <w:rStyle w:val="InternetLink"/>
                  <w:rFonts w:ascii="Times New Roman;serif" w:hAnsi="Times New Roman;serif"/>
                  <w:b w:val="false"/>
                  <w:color w:val="000080"/>
                  <w:sz w:val="20"/>
                  <w:u w:val="single"/>
                </w:rPr>
                <w:t>6, 2025.</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9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80"/>
                  <w:sz w:val="20"/>
                  <w:u w:val="single"/>
                </w:rPr>
                <w:t>Form of Notice of Grant of Stock Option and Standard Stock Option Agreement under the BioCryst Pharmaceuticals, Inc. Stock Incentive Plan</w:t>
              </w:r>
            </w:hyperlink>
            <w:hyperlink r:id="rId25">
              <w:r>
                <w:rPr>
                  <w:rStyle w:val="InternetLink"/>
                  <w:rFonts w:ascii="Times New Roman;serif" w:hAnsi="Times New Roman;serif"/>
                  <w:b w:val="false"/>
                  <w:color w:val="000080"/>
                  <w:sz w:val="20"/>
                  <w:u w:val="single"/>
                </w:rPr>
                <w:t>. Incorp</w:t>
              </w:r>
            </w:hyperlink>
            <w:hyperlink r:id="rId26">
              <w:r>
                <w:rPr>
                  <w:rStyle w:val="InternetLink"/>
                  <w:rFonts w:ascii="Times New Roman;serif" w:hAnsi="Times New Roman;serif"/>
                  <w:b w:val="false"/>
                  <w:color w:val="000080"/>
                  <w:sz w:val="20"/>
                  <w:u w:val="single"/>
                </w:rPr>
                <w:t>o</w:t>
              </w:r>
            </w:hyperlink>
            <w:hyperlink r:id="rId27">
              <w:r>
                <w:rPr>
                  <w:rStyle w:val="InternetLink"/>
                  <w:rFonts w:ascii="Times New Roman;serif" w:hAnsi="Times New Roman;serif"/>
                  <w:b w:val="false"/>
                  <w:color w:val="000080"/>
                  <w:sz w:val="20"/>
                  <w:u w:val="single"/>
                </w:rPr>
                <w:t>rated by reference to Exhibit 10.2 to the Company</w:t>
              </w:r>
            </w:hyperlink>
            <w:hyperlink r:id="rId28">
              <w:r>
                <w:rPr>
                  <w:rStyle w:val="InternetLink"/>
                  <w:rFonts w:ascii="Times New Roman;serif" w:hAnsi="Times New Roman;serif"/>
                  <w:b w:val="false"/>
                  <w:color w:val="000080"/>
                  <w:sz w:val="20"/>
                  <w:u w:val="single"/>
                </w:rPr>
                <w:t>’</w:t>
              </w:r>
            </w:hyperlink>
            <w:hyperlink r:id="rId29">
              <w:r>
                <w:rPr>
                  <w:rStyle w:val="InternetLink"/>
                  <w:rFonts w:ascii="Times New Roman;serif" w:hAnsi="Times New Roman;serif"/>
                  <w:b w:val="false"/>
                  <w:color w:val="000080"/>
                  <w:sz w:val="20"/>
                  <w:u w:val="single"/>
                </w:rPr>
                <w:t>s Form 10-Q filed May 6, 2025</w:t>
              </w:r>
            </w:hyperlink>
            <w:hyperlink r:id="rId30">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80"/>
                  <w:sz w:val="20"/>
                  <w:u w:val="single"/>
                </w:rPr>
                <w:t>BioCryst Pharmaceuticals, Inc. Amended and Restated Non-Employee Director Compensation Policy, effective April 21, 2025</w:t>
              </w:r>
            </w:hyperlink>
            <w:hyperlink r:id="rId32">
              <w:r>
                <w:rPr>
                  <w:rStyle w:val="InternetLink"/>
                  <w:rFonts w:ascii="Times New Roman;serif" w:hAnsi="Times New Roman;serif"/>
                  <w:b w:val="false"/>
                  <w:color w:val="000080"/>
                  <w:sz w:val="20"/>
                  <w:u w:val="single"/>
                </w:rPr>
                <w:t>. I</w:t>
              </w:r>
            </w:hyperlink>
            <w:hyperlink r:id="rId33">
              <w:r>
                <w:rPr>
                  <w:rStyle w:val="InternetLink"/>
                  <w:rFonts w:ascii="Times New Roman;serif" w:hAnsi="Times New Roman;serif"/>
                  <w:b w:val="false"/>
                  <w:color w:val="000080"/>
                  <w:sz w:val="20"/>
                  <w:u w:val="single"/>
                </w:rPr>
                <w:t>ncorporated by reference to Exhibit 10.3 to the Company</w:t>
              </w:r>
            </w:hyperlink>
            <w:hyperlink r:id="rId34">
              <w:r>
                <w:rPr>
                  <w:rStyle w:val="InternetLink"/>
                  <w:rFonts w:ascii="Times New Roman;serif" w:hAnsi="Times New Roman;serif"/>
                  <w:b w:val="false"/>
                  <w:color w:val="000080"/>
                  <w:sz w:val="20"/>
                  <w:u w:val="single"/>
                </w:rPr>
                <w:t>’</w:t>
              </w:r>
            </w:hyperlink>
            <w:hyperlink r:id="rId35">
              <w:r>
                <w:rPr>
                  <w:rStyle w:val="InternetLink"/>
                  <w:rFonts w:ascii="Times New Roman;serif" w:hAnsi="Times New Roman;serif"/>
                  <w:b w:val="false"/>
                  <w:color w:val="000080"/>
                  <w:sz w:val="20"/>
                  <w:u w:val="single"/>
                </w:rPr>
                <w:t>s Form 10-Q filed May 6, 2025</w:t>
              </w:r>
            </w:hyperlink>
            <w:hyperlink r:id="rId36">
              <w:r>
                <w:rPr>
                  <w:rStyle w:val="InternetLink"/>
                  <w:rFonts w:ascii="Times New Roman;serif" w:hAnsi="Times New Roman;serif"/>
                  <w:b w:val="false"/>
                  <w:color w:val="000080"/>
                  <w:sz w:val="20"/>
                  <w:u w:val="single"/>
                </w:rPr>
                <w:t>.</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311.htm">
              <w:r>
                <w:rPr>
                  <w:rStyle w:val="InternetLink"/>
                  <w:rFonts w:ascii="Times New Roman;serif" w:hAnsi="Times New Roman;serif"/>
                  <w:b w:val="false"/>
                  <w:color w:val="000080"/>
                  <w:sz w:val="20"/>
                  <w:u w:val="single"/>
                </w:rPr>
                <w:t xml:space="preserve">Certification of the Principal Executive Officer </w:t>
              </w:r>
            </w:hyperlink>
            <w:hyperlink w:anchor="bcrx-20250630x10xqxex311.htm">
              <w:r>
                <w:rPr>
                  <w:rStyle w:val="InternetLink"/>
                  <w:rFonts w:ascii="Times New Roman;serif" w:hAnsi="Times New Roman;serif"/>
                  <w:b w:val="false"/>
                  <w:color w:val="000080"/>
                  <w:sz w:val="20"/>
                  <w:u w:val="single"/>
                </w:rPr>
                <w:t>Pursuant to Rule 13a-14(a) and Rule 15d-14(a) of the Securities Exchange Act of 1934, as Amended,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214"/>
        <w:gridCol w:w="188"/>
        <w:gridCol w:w="189"/>
        <w:gridCol w:w="2861"/>
        <w:gridCol w:w="2789"/>
        <w:gridCol w:w="3964"/>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312.htm">
              <w:r>
                <w:rPr>
                  <w:rStyle w:val="InternetLink"/>
                  <w:rFonts w:ascii="Times New Roman;serif" w:hAnsi="Times New Roman;serif"/>
                  <w:b w:val="false"/>
                  <w:color w:val="000080"/>
                  <w:sz w:val="20"/>
                  <w:u w:val="single"/>
                </w:rPr>
                <w:t xml:space="preserve">Certification of the Principal </w:t>
              </w:r>
            </w:hyperlink>
            <w:hyperlink w:anchor="bcrx-20250630x10xqxex312.htm">
              <w:r>
                <w:rPr>
                  <w:rStyle w:val="InternetLink"/>
                  <w:rFonts w:ascii="Times New Roman;serif" w:hAnsi="Times New Roman;serif"/>
                  <w:b w:val="false"/>
                  <w:color w:val="000080"/>
                  <w:sz w:val="20"/>
                  <w:u w:val="single"/>
                </w:rPr>
                <w:t>Financial</w:t>
              </w:r>
            </w:hyperlink>
            <w:hyperlink w:anchor="bcrx-20250630x10xqxex312.htm">
              <w:r>
                <w:rPr>
                  <w:rStyle w:val="InternetLink"/>
                  <w:rFonts w:ascii="Times New Roman;serif" w:hAnsi="Times New Roman;serif"/>
                  <w:b w:val="false"/>
                  <w:color w:val="000080"/>
                  <w:sz w:val="20"/>
                  <w:u w:val="single"/>
                </w:rPr>
                <w:t xml:space="preserve"> Officer Pursuant to Rule 13a-14(a) and Rule 15d-14(a) of the Securities Exchange Act of 1934, as Amended, as Adopted Pursuant to Section 302 of the Sarbanes-Oxley Act of 2002.</w:t>
              </w:r>
            </w:hyperlink>
          </w:p>
        </w:tc>
      </w:tr>
      <w:tr>
        <w:trPr/>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321.htm">
              <w:r>
                <w:rPr>
                  <w:rStyle w:val="InternetLink"/>
                  <w:rFonts w:ascii="Times New Roman;serif" w:hAnsi="Times New Roman;serif"/>
                  <w:b w:val="false"/>
                  <w:color w:val="000080"/>
                  <w:sz w:val="20"/>
                  <w:u w:val="single"/>
                </w:rPr>
                <w:t>Certification of the Principal Executive Officer</w:t>
              </w:r>
            </w:hyperlink>
            <w:hyperlink w:anchor="bcrx-20250630x10xqxex321.htm">
              <w:r>
                <w:rPr>
                  <w:rStyle w:val="InternetLink"/>
                  <w:rFonts w:ascii="Times New Roman;serif" w:hAnsi="Times New Roman;serif"/>
                  <w:b w:val="false"/>
                  <w:color w:val="000080"/>
                  <w:sz w:val="20"/>
                  <w:u w:val="single"/>
                </w:rPr>
                <w:t xml:space="preserve"> Pursuant to 18 U.S.C. Section 1350, as Adopted Pursuant to Section 906 of the Sarbanes-Oxley Act of 2002.</w:t>
              </w:r>
            </w:hyperlink>
          </w:p>
        </w:tc>
      </w:tr>
      <w:tr>
        <w:trPr/>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bcrx-20250630x10xqxex322.htm">
              <w:r>
                <w:rPr>
                  <w:rStyle w:val="InternetLink"/>
                  <w:rFonts w:ascii="Times New Roman;serif" w:hAnsi="Times New Roman;serif"/>
                  <w:b w:val="false"/>
                  <w:color w:val="000080"/>
                  <w:sz w:val="20"/>
                  <w:u w:val="single"/>
                </w:rPr>
                <w:t xml:space="preserve">Certification of the </w:t>
              </w:r>
            </w:hyperlink>
            <w:hyperlink w:anchor="bcrx-20250630x10xqxex322.htm">
              <w:r>
                <w:rPr>
                  <w:rStyle w:val="InternetLink"/>
                  <w:rFonts w:ascii="Times New Roman;serif" w:hAnsi="Times New Roman;serif"/>
                  <w:b w:val="false"/>
                  <w:color w:val="000080"/>
                  <w:sz w:val="20"/>
                  <w:u w:val="single"/>
                </w:rPr>
                <w:t>Principal Financial Officer Pursuant to 18 U.S.C. Section 1350, as Adopted Pursuant to Section 906 of the Sarbanes-Oxley Act of 2002.</w:t>
              </w:r>
            </w:hyperlink>
          </w:p>
        </w:tc>
      </w:tr>
      <w:tr>
        <w:trPr/>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from the Quarterly Report on Form 10-Q of BioCryst Pharmaceuticals, Inc. for the three and six months ended June 30, 2025, formatted in Inline XBRL: (i) Condensed Consolidated Balance Sheets, (ii) Condensed Consolidated Statements of Comprehensive Income (Loss), (iii) Condensed Consolidated Statements of Cash Flows, (iv) Condensed Consolidated Statements of Stockholders’ Deficit, and (v) Notes to Condensed Consolidated Financial Statements, tagged as blocks of text and including detailed tags.</w:t>
            </w:r>
          </w:p>
        </w:tc>
      </w:tr>
      <w:tr>
        <w:trPr/>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contract.</w:t>
            </w:r>
          </w:p>
        </w:tc>
      </w:tr>
      <w:tr>
        <w:trPr/>
        <w:tc>
          <w:tcPr>
            <w:tcW w:w="5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certification is being furnished solely to accompany this Quarterly Report on Form 10-Q pursuant to 18 U.S.C. Section 1350, and will not be deemed “filed” for purposes of Section 18 of the Exchange Act, except to the extent that the Company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0" w:after="0"/>
        <w:jc w:val="left"/>
        <w:rPr/>
      </w:pPr>
      <w:hyperlink w:anchor="i6db0a6f8a6014f9599ccb1cf89b18e13_7">
        <w:r>
          <w:rPr>
            <w:rStyle w:val="InternetLink"/>
            <w:rFonts w:ascii="Times New Roman;serif" w:hAnsi="Times New Roman;serif"/>
            <w:b w:val="false"/>
            <w:color w:val="000080"/>
            <w:sz w:val="20"/>
            <w:u w:val="single"/>
          </w:rPr>
          <w:t xml:space="preserve">Table of </w:t>
        </w:r>
      </w:hyperlink>
      <w:hyperlink w:anchor="i6db0a6f8a6014f9599ccb1cf89b18e13_7">
        <w:r>
          <w:rPr>
            <w:rStyle w:val="InternetLink"/>
            <w:rFonts w:ascii="Times New Roman;serif" w:hAnsi="Times New Roman;serif"/>
            <w:b w:val="false"/>
            <w:color w:val="000080"/>
            <w:sz w:val="20"/>
            <w:u w:val="single"/>
          </w:rPr>
          <w:t>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this 5th day of August, 2025.</w:t>
      </w:r>
    </w:p>
    <w:tbl>
      <w:tblPr>
        <w:tblW w:w="10205" w:type="dxa"/>
        <w:jc w:val="left"/>
        <w:tblInd w:w="0" w:type="dxa"/>
        <w:tblLayout w:type="fixed"/>
        <w:tblCellMar>
          <w:top w:w="28" w:type="dxa"/>
          <w:left w:w="28" w:type="dxa"/>
          <w:bottom w:w="28" w:type="dxa"/>
          <w:right w:w="28" w:type="dxa"/>
        </w:tblCellMar>
      </w:tblPr>
      <w:tblGrid>
        <w:gridCol w:w="1975"/>
        <w:gridCol w:w="1736"/>
        <w:gridCol w:w="1737"/>
        <w:gridCol w:w="1392"/>
        <w:gridCol w:w="1392"/>
        <w:gridCol w:w="1973"/>
      </w:tblGrid>
      <w:tr>
        <w:trPr/>
        <w:tc>
          <w:tcPr>
            <w:tcW w:w="197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BIOCRYST PHARMACEUTICALS, INC.</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Jon P. Stonehouse</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Jon P. Stonehouse</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8" w:type="dxa"/>
            <w:gridSpan w:val="3"/>
            <w:tcBorders/>
            <w:tcMar>
              <w:top w:w="0" w:type="dxa"/>
              <w:left w:w="0" w:type="dxa"/>
              <w:bottom w:w="0" w:type="dxa"/>
              <w:right w:w="0" w:type="dxa"/>
            </w:tcMar>
            <w:vAlign w:val="center"/>
          </w:tcPr>
          <w:p>
            <w:pPr>
              <w:pStyle w:val="TableContents"/>
              <w:bidi w:val="0"/>
              <w:spacing w:lineRule="auto" w:line="273" w:before="0" w:after="0"/>
              <w:jc w:val="right"/>
              <w:rPr>
                <w:color w:val="000000"/>
              </w:rPr>
            </w:pPr>
            <w:r>
              <w:rPr>
                <w:color w:val="000000"/>
              </w:rPr>
              <w:t>                                                                                    </w:t>
            </w:r>
            <w:r>
              <w:rPr>
                <w:rFonts w:ascii="Times New Roman;serif" w:hAnsi="Times New Roman;serif"/>
                <w:b w:val="false"/>
                <w:color w:val="000000"/>
                <w:sz w:val="20"/>
              </w:rPr>
              <w:t>By:</w:t>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AMENDMENT TO CONSULTING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FIRST AMENDMENT to the CONSULTING AGREEMENT (the “First Amendment”) is made and entered into on this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day of May, 2025 (the “First Amendment Effective Date”), by and between BioCryst Pharmaceuticals, Inc., a Delaware Corporation and Anthony Doyle</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WHEREAS, BioCryst and Anthony Doyle entered into a Consulting Agreement (the “Agreement”) having an effective date of April 9, 2025;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WHEREAS, both parties wish to extend the term of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NOW, THEREFORE, in consideration of the foregoing, and other good and valuable consideration, the receipt and sufficiency of which are hereby acknowledged, BioCryst and Anthony Doyle, intending to be legally bound, have agreed to amend the terms of the Agreement as follows: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The Term of the Agreement shall be extended through December 31, 2025, and shall automatically continue thereafter on a month-to-month basis until terminated by either party upon thirty (30) days’ written notice.</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Except as expressly amended hereby, the Agreement shall remain in full force and effect in accordance with its terms.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IN WITNESS WHEREOF, the parties have executed this Amendment as of the first date above written.</w:t>
      </w:r>
    </w:p>
    <w:p>
      <w:pPr>
        <w:pStyle w:val="TextBody"/>
        <w:bidi w:val="0"/>
        <w:spacing w:before="0" w:after="0"/>
        <w:jc w:val="left"/>
        <w:rPr/>
      </w:pPr>
      <w:r>
        <w:rPr/>
      </w:r>
    </w:p>
    <w:p>
      <w:pPr>
        <w:pStyle w:val="TextBody"/>
        <w:bidi w:val="0"/>
        <w:spacing w:before="0" w:after="160"/>
        <w:jc w:val="left"/>
        <w:rPr/>
      </w:pPr>
      <w:r>
        <w:rPr/>
      </w:r>
    </w:p>
    <w:tbl>
      <w:tblPr>
        <w:tblW w:w="6270" w:type="dxa"/>
        <w:jc w:val="left"/>
        <w:tblInd w:w="0" w:type="dxa"/>
        <w:tblLayout w:type="fixed"/>
        <w:tblCellMar>
          <w:top w:w="28" w:type="dxa"/>
          <w:left w:w="28" w:type="dxa"/>
          <w:bottom w:w="28" w:type="dxa"/>
          <w:right w:w="28" w:type="dxa"/>
        </w:tblCellMar>
      </w:tblPr>
      <w:tblGrid>
        <w:gridCol w:w="1049"/>
        <w:gridCol w:w="922"/>
        <w:gridCol w:w="924"/>
        <w:gridCol w:w="989"/>
        <w:gridCol w:w="989"/>
        <w:gridCol w:w="1397"/>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erif" w:hAnsi="Times New Roman;serif"/>
                <w:b/>
                <w:color w:val="000000"/>
                <w:sz w:val="24"/>
              </w:rPr>
            </w:pPr>
            <w:r>
              <w:rPr>
                <w:rFonts w:ascii="Times New Roman;serif" w:hAnsi="Times New Roman;serif"/>
                <w:b/>
                <w:color w:val="000000"/>
                <w:sz w:val="24"/>
              </w:rPr>
              <w:t>Anthony Doyle</w:t>
            </w:r>
          </w:p>
        </w:tc>
        <w:tc>
          <w:tcPr>
            <w:tcW w:w="33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283"/>
              <w:jc w:val="left"/>
              <w:rPr>
                <w:rFonts w:ascii="Times New Roman;serif" w:hAnsi="Times New Roman;serif"/>
                <w:b/>
                <w:color w:val="000000"/>
                <w:sz w:val="24"/>
              </w:rPr>
            </w:pPr>
            <w:r>
              <w:rPr>
                <w:rFonts w:ascii="Times New Roman;serif" w:hAnsi="Times New Roman;serif"/>
                <w:b/>
                <w:color w:val="000000"/>
                <w:sz w:val="24"/>
              </w:rPr>
              <w:t xml:space="preserve">BioCryst Pharmaceuticals, Inc. </w:t>
            </w:r>
          </w:p>
        </w:tc>
      </w:tr>
      <w:tr>
        <w:trPr/>
        <w:tc>
          <w:tcPr>
            <w:tcW w:w="289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Signature: </w:t>
            </w:r>
            <w:r>
              <w:rPr>
                <w:rFonts w:ascii="Times New Roman;serif" w:hAnsi="Times New Roman;serif"/>
                <w:b w:val="false"/>
                <w:color w:val="000000"/>
                <w:sz w:val="24"/>
                <w:u w:val="single"/>
              </w:rPr>
              <w:t>/s/ Anthony Doyle</w:t>
            </w:r>
          </w:p>
        </w:tc>
        <w:tc>
          <w:tcPr>
            <w:tcW w:w="33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Signature: </w:t>
            </w:r>
            <w:r>
              <w:rPr>
                <w:rFonts w:ascii="Times New Roman;serif" w:hAnsi="Times New Roman;serif"/>
                <w:b w:val="false"/>
                <w:color w:val="000000"/>
                <w:sz w:val="24"/>
                <w:u w:val="single"/>
              </w:rPr>
              <w:t>/s/ Alane Barnes</w:t>
            </w:r>
          </w:p>
        </w:tc>
      </w:tr>
      <w:tr>
        <w:trPr/>
        <w:tc>
          <w:tcPr>
            <w:tcW w:w="289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4"/>
              </w:rPr>
            </w:pPr>
            <w:r>
              <w:rPr>
                <w:rFonts w:ascii="Times New Roman;serif" w:hAnsi="Times New Roman;serif"/>
                <w:b w:val="false"/>
                <w:color w:val="000000"/>
                <w:sz w:val="24"/>
              </w:rPr>
              <w:t>Name: Anthony Doyle</w:t>
            </w:r>
          </w:p>
        </w:tc>
        <w:tc>
          <w:tcPr>
            <w:tcW w:w="337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21" w:before="0" w:after="283"/>
              <w:jc w:val="left"/>
              <w:rPr>
                <w:rFonts w:ascii="Times New Roman;serif" w:hAnsi="Times New Roman;serif"/>
                <w:b w:val="false"/>
                <w:color w:val="000000"/>
                <w:sz w:val="24"/>
              </w:rPr>
            </w:pPr>
            <w:r>
              <w:rPr>
                <w:rFonts w:ascii="Times New Roman;serif" w:hAnsi="Times New Roman;serif"/>
                <w:b w:val="false"/>
                <w:color w:val="000000"/>
                <w:sz w:val="24"/>
              </w:rPr>
              <w:t>Name: Alane Barnes</w:t>
            </w:r>
          </w:p>
        </w:tc>
      </w:tr>
      <w:tr>
        <w:trPr/>
        <w:tc>
          <w:tcPr>
            <w:tcW w:w="289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4"/>
              </w:rPr>
            </w:pPr>
            <w:r>
              <w:rPr>
                <w:rFonts w:ascii="Times New Roman;serif" w:hAnsi="Times New Roman;serif"/>
                <w:b w:val="false"/>
                <w:color w:val="000000"/>
                <w:sz w:val="24"/>
              </w:rPr>
              <w:t>Title: Consultant</w:t>
            </w:r>
          </w:p>
        </w:tc>
        <w:tc>
          <w:tcPr>
            <w:tcW w:w="337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21" w:before="0" w:after="283"/>
              <w:jc w:val="left"/>
              <w:rPr>
                <w:rFonts w:ascii="Times New Roman;serif" w:hAnsi="Times New Roman;serif"/>
                <w:b w:val="false"/>
                <w:color w:val="000000"/>
                <w:sz w:val="24"/>
              </w:rPr>
            </w:pPr>
            <w:r>
              <w:rPr>
                <w:rFonts w:ascii="Times New Roman;serif" w:hAnsi="Times New Roman;serif"/>
                <w:b w:val="false"/>
                <w:color w:val="000000"/>
                <w:sz w:val="24"/>
              </w:rPr>
              <w:t>Title: Chief Legal Officer</w:t>
            </w:r>
          </w:p>
        </w:tc>
      </w:tr>
    </w:tbl>
    <w:p>
      <w:pPr>
        <w:pStyle w:val="TextBody"/>
        <w:bidi w:val="0"/>
        <w:spacing w:before="0" w:after="160"/>
        <w:jc w:val="left"/>
        <w:rPr/>
      </w:pPr>
      <w:r>
        <w:rPr/>
      </w:r>
    </w:p>
    <w:p>
      <w:pPr>
        <w:pStyle w:val="TextBody"/>
        <w:bidi w:val="0"/>
        <w:spacing w:before="0" w:after="160"/>
        <w:ind w:left="0" w:right="0" w:firstLine="720"/>
        <w:jc w:val="left"/>
        <w:rPr/>
      </w:pPr>
      <w:r>
        <w:rPr/>
      </w:r>
    </w:p>
    <w:p>
      <w:pPr>
        <w:pStyle w:val="TextBody"/>
        <w:bidi w:val="0"/>
        <w:spacing w:before="0" w:after="160"/>
        <w:ind w:left="0" w:right="0" w:firstLine="72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AMENDED AND RESTATED EMPLOYMENT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val="false"/>
          <w:color w:val="000000"/>
          <w:sz w:val="22"/>
        </w:rPr>
        <w:t xml:space="preserve">This </w:t>
      </w:r>
      <w:r>
        <w:rPr>
          <w:rFonts w:ascii="Arial;sans-serif" w:hAnsi="Arial;sans-serif"/>
          <w:b/>
          <w:color w:val="000000"/>
          <w:sz w:val="22"/>
        </w:rPr>
        <w:t>AMENDED AND RESTATED EMPLOYMENT AGREEMENT</w:t>
      </w:r>
      <w:r>
        <w:rPr>
          <w:color w:val="000000"/>
        </w:rPr>
        <w:t xml:space="preserve"> </w:t>
      </w:r>
      <w:r>
        <w:rPr>
          <w:rFonts w:ascii="Arial;sans-serif" w:hAnsi="Arial;sans-serif"/>
          <w:b w:val="false"/>
          <w:color w:val="000000"/>
          <w:sz w:val="22"/>
        </w:rPr>
        <w:t>(“</w:t>
      </w:r>
      <w:r>
        <w:rPr>
          <w:rFonts w:ascii="Arial;sans-serif" w:hAnsi="Arial;sans-serif"/>
          <w:b/>
          <w:i/>
          <w:color w:val="000000"/>
          <w:sz w:val="22"/>
        </w:rPr>
        <w:t>Amendment</w:t>
      </w:r>
      <w:r>
        <w:rPr>
          <w:color w:val="000000"/>
        </w:rPr>
        <w:t>”</w:t>
      </w:r>
      <w:r>
        <w:rPr>
          <w:rFonts w:ascii="Arial;sans-serif" w:hAnsi="Arial;sans-serif"/>
          <w:b w:val="false"/>
          <w:color w:val="000000"/>
          <w:sz w:val="22"/>
        </w:rPr>
        <w:t xml:space="preserve">) is made effective as of the 23rd day of July, 2025, between </w:t>
      </w:r>
      <w:r>
        <w:rPr>
          <w:rFonts w:ascii="Arial;sans-serif" w:hAnsi="Arial;sans-serif"/>
          <w:b/>
          <w:color w:val="000000"/>
          <w:sz w:val="22"/>
        </w:rPr>
        <w:t>Babar Ghias</w:t>
      </w:r>
      <w:r>
        <w:rPr>
          <w:color w:val="000000"/>
        </w:rPr>
        <w:t xml:space="preserve"> </w:t>
      </w:r>
      <w:r>
        <w:rPr>
          <w:rFonts w:ascii="Arial;sans-serif" w:hAnsi="Arial;sans-serif"/>
          <w:b w:val="false"/>
          <w:color w:val="000000"/>
          <w:sz w:val="22"/>
        </w:rPr>
        <w:t>(“</w:t>
      </w:r>
      <w:r>
        <w:rPr>
          <w:rFonts w:ascii="Arial;sans-serif" w:hAnsi="Arial;sans-serif"/>
          <w:b/>
          <w:i/>
          <w:color w:val="000000"/>
          <w:sz w:val="22"/>
        </w:rPr>
        <w:t>Employee</w:t>
      </w:r>
      <w:r>
        <w:rPr>
          <w:color w:val="000000"/>
        </w:rPr>
        <w:t>”</w:t>
      </w:r>
      <w:r>
        <w:rPr>
          <w:rFonts w:ascii="Arial;sans-serif" w:hAnsi="Arial;sans-serif"/>
          <w:b w:val="false"/>
          <w:color w:val="000000"/>
          <w:sz w:val="22"/>
        </w:rPr>
        <w:t xml:space="preserve">), and </w:t>
      </w:r>
      <w:r>
        <w:rPr>
          <w:rFonts w:ascii="Arial;sans-serif" w:hAnsi="Arial;sans-serif"/>
          <w:b/>
          <w:color w:val="000000"/>
          <w:sz w:val="22"/>
        </w:rPr>
        <w:t>BioCryst Pharmaceuticals, Inc.</w:t>
      </w:r>
      <w:r>
        <w:rPr>
          <w:rFonts w:ascii="Arial;sans-serif" w:hAnsi="Arial;sans-serif"/>
          <w:b w:val="false"/>
          <w:color w:val="000000"/>
          <w:sz w:val="22"/>
        </w:rPr>
        <w:t>, a Delaware corporation, located at 4505 Emperor Boulevard, Suite 200, Durham NC 27703 (“</w:t>
      </w:r>
      <w:r>
        <w:rPr>
          <w:rFonts w:ascii="Arial;sans-serif" w:hAnsi="Arial;sans-serif"/>
          <w:b/>
          <w:i/>
          <w:color w:val="000000"/>
          <w:sz w:val="22"/>
        </w:rPr>
        <w:t>Company</w:t>
      </w:r>
      <w:r>
        <w:rPr>
          <w:color w:val="000000"/>
        </w:rPr>
        <w:t>”</w:t>
      </w:r>
      <w:r>
        <w:rPr>
          <w:rFonts w:ascii="Arial;sans-serif" w:hAnsi="Arial;sans-serif"/>
          <w:b w:val="false"/>
          <w:color w:val="000000"/>
          <w:sz w:val="22"/>
        </w:rPr>
        <w:t>). The parties agree that any and all actions by a party pursuant to the Employment Agreement shall be deemed to have been made under this Amendment on the date such action was taken and nothing in this Amendment shall require duplication of any prior action by either party.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Amendment is set forth as follows: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June 9,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u w:val="single"/>
        </w:rPr>
      </w:pPr>
      <w:r>
        <w:rPr>
          <w:rFonts w:ascii="Arial;sans-serif" w:hAnsi="Arial;sans-serif"/>
          <w:b/>
          <w:color w:val="000000"/>
          <w:sz w:val="22"/>
          <w:u w:val="single"/>
        </w:rPr>
        <w:t>Via Electronic Mail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Babar Ghias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2738 North Magnolia,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Chicago, IL 60614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Mr. Ghias,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On behalf of BioCryst Pharmaceuticals, Inc., a Delaware corporation (the “Company”), we are pleased to offer you the position of Chief Financial Officer. You will report directly to Jon Stonehouse, Chief Executive Officer. We, along with the other members of the Company’s Board of Directors (the “Board”), and the Company’s management team, are all very impressed with you and what you will bring to the Company. We look forward to your joining this Company and making significant contributions to its success.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Upon formal appointment by the Board of Directors as an Officer of the Company, this letter agreement (the “Agreement”) will serve to confirm our agreement with respect to the terms and conditions of your employment.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1. Term of Employment.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Subject to the terms and conditions of this Agreement, the Company hereby employs Babar Ghias (“Employee”) as Chief Financial Officer. Employee shall devote substantially full-time attention to the business and affairs of the Company and its affiliates. Employee may (i) serve on corporate, civic, charitable or non-profit boards or committees, subject in all cases to the prior written approval in accordance with all applicable policies of the Company and its affiliates as in effect from time to time, and (ii) manage personal and family investments, participate in industry organizations and deliver lectures at educational institutions or events, so long as no such service or activity interferes, individually or in the aggregate, with the performance of Employee’s responsibilities hereunder.</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(b)</w:t>
      </w:r>
      <w:r>
        <w:rPr>
          <w:color w:val="000000"/>
        </w:rPr>
        <w:t xml:space="preserve"> </w:t>
      </w:r>
      <w:r>
        <w:rPr>
          <w:rFonts w:ascii="Arial;sans-serif" w:hAnsi="Arial;sans-serif"/>
          <w:b w:val="false"/>
          <w:color w:val="000000"/>
          <w:sz w:val="22"/>
        </w:rPr>
        <w:t>The term of employment of Employee under this Agreement shall begin on July 7, 2025 (the “Effective Date”) and shall continue until Employee is terminated in accordance with Section 4 of this Agreement.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2.</w:t>
      </w:r>
      <w:r>
        <w:rPr>
          <w:color w:val="000000"/>
        </w:rPr>
        <w:t xml:space="preserve"> </w:t>
      </w:r>
      <w:r>
        <w:rPr>
          <w:rFonts w:ascii="Arial;sans-serif" w:hAnsi="Arial;sans-serif"/>
          <w:b/>
          <w:color w:val="000000"/>
          <w:sz w:val="22"/>
        </w:rPr>
        <w:t>Basic Full-Time Compensation and Benefits.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Commencing as of the Effective Date, as basic compensation for services rendered under this Agreement, Employee shall be entitled to receive from the Company a salary of $560,000 per annum (the “Base Salary”), payable in accordance with the Company’s standard payroll practices as in effect from time to time during the term of this Agreement. The Base Salary will be reviewed annually by the Board or a committee thereof and may be raised at the discretion of the Board or such committee.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(b) Employee shall be eligible to earn a cash bonus, payable as soon as reasonably practicable in the calendar year following each calendar year during the term of this Agreement, based on the Company’s and/or Employee’s achievement of performance related goals proposed by management and approved by the Board or a committee thereof for the Company’s applicable fiscal year (the “Incentive Compensation”). The Incentive Compensation actually earned, if any, shall be determined in the sole discretion of the Board or a committee thereof and shall be based on a target amount equal to seventy percent (70%) of the Base Salary earned by Employee during such fiscal year (the “Target Amount”), which shall not be pro-rated for the first fiscal year of the term of this Agreement. The Board or a committee thereof may, in its discretion, approve an Incentive Compensation payment in excess of the Target Amount if the performance goals have been exceeded. Employee must be employed through April 1 of the next succeeding fiscal year in order to receive the Incentive Compensation payment for each fiscal year.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Employee shall be provided with a one-time cash bonus of $160,000 (“Signing Bonus”), payable within thirty (30) days of the Effective Date. Any Incentive Compensation earned for the fiscal year in which the Effective Date occurs pursuant to Section 2(b) will be reduced by the Signing Bonus. In the event of Employee’s termination of employment prior to payment of the applicable Incentive Compensation, Employee will promptly repay Signing Bonus.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(c) Employee shall be entitled to receive such other benefits and perquisites provided to similarly situated executive officers of the Company, subject to modification or termination at any time, which benefits may include, without limitation, reasonable paid time off (PTO), medical, dental and vision benefits, life insurance, and participation in profit sharing or retirement plans.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3. Equity Awards.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Company shall grant to Employee 305,000 stock options and 147,000 RSUs pursuant to BioCryst’s stock option plan (the “Initial Equity Grants”). The grant date of the Initial Equity Grants shall be July 24, 2025, or such other date as the parties mutually agree. The Initial Equity Grants shall be granted under and subject to the terms of the Company’s Inducement Plan or the Company’s Stock Incentive Plan, as applicable and as the same may be amended and restated from time to time. The Initial Equity Grants shall vest and become exercisable (contingent on Employee’s continued provision of services to the Company on each respective vesting date) over a period of four (4) years on the anniversary of the grant date.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In addition, during the term of this Agreement, Employee shall be eligible to receive equity-based compensation as determined in the sole discretion of the Board or a committee thereof, which may be subject to the achievement of certain performance targets set by the Board or such committee. These equity-based awards shall be subject to the terms and conditions set forth in the Company’s Stock Incentive Plan as in effect from time to time and award agreements issued thereunder.</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4. Termination.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 If Employee’s employment is terminated (i) by the Company for Cause, (ii) by Employee other than, following a Change of Control, pursuant to a Constructive Termination, or (iii) Employee’s death or Disability, the Company shall pay Employee (A) any accrued and unpaid Base Salary, payable on the next payroll date; (B) reimbursement for any and all monies advanced or expenses incurred in connection with Employee’s employment for reasonable and necessary expenses incurred by Employee on behalf of the Company for the period ending on the termination date, which amount shall be reimbursed within thirty (30) days of the Company’s receipt of proper documentation from Employee; (C) any compensation that Employee had previously deferred (including any interest earned or credited thereon), in accordance with the terms and conditions of the applicable deferred compensation plans or arrangements then in effect, to the extent vested as of Employee’s termination date, paid pursuant to the terms of such plans or arrangements; and (D) any vested amount or benefit payable under any welfare or retirement benefit plan or program in accordance with the terms thereof (the foregoing items in this Section 4(a), the “Accrued Obligations”).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a termination for “Cause” shall mean a determination by the Board that Employee’s employment be terminated for any of the following reasons: (i) failure or refusal to comply in any material respect with lawful policies, standards or regulations of Company; (ii) a violation of a federal or state law or regulation applicable to the business of the Company; (iii) conviction or plea of no contest to a felony under the laws of the United States or any State; (iv) fraud or misappropriation of property belonging to the Company or its affiliates; (v) a breach in any material respect of the terms of any confidentiality, invention assignment or proprietary information agreement with the Company or with a former employer, (vi) failure to satisfactorily perform Employee’s duties after having received written notice of such failure and at least thirty (30) days to cure such failure, or (vii) misconduct or gross negligence in connection with the performance of Employee’s duties.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“Disability” shall mean the inability of Employee to perform Employee’s duties hereunder by reason of physical or mental incapacity for ninety (90) days, whether consecutive or not, during any consecutive twelve (12) month period.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(b) If Employee’s employment is terminated by the Company without Cause, or, following a Change of Control, by Employee pursuant to a Constructive Termination, then Employee will receive any Accrued Obligations and, subject to Sections 4(c) and 6(f), Employee will receive the following: (i) continuation of Base Salary for one (1) year following the effective termination date, payable in accordance with the regular payroll practices of the Company; (ii) payment of one times Employee’s annual target Incentive Compensation in effect for the fiscal year in which Employee’s termination date occurs, payable in equal installments over the regularly scheduled payroll periods of the Company for the one year following the effective date of termination; and (iii) if Employee elects to continue health insurance coverage under the Consolidated Omnibus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Budget Reconciliation Act of 1985, as amended (“COBRA”) following termination of employment, the Company shall pay the monthly premium under COBRA on the same basis as active employees until the earlier of (x) 12 months following the effective termination date, or (y) the date upon which Employee commences employment with an entity other than the Company. Employee will notify the Company in writing within five (5) days of Employee’s receipt of an offer of employment with any entity other than the Company, and will accordingly identify the date upon which Employee will commence employment in such writing (clauses (i) through (iii), “Severance”).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“Change of Control” shall mean: (i) the sale, transfer, or other disposition of all or substantially all of the assets of the Company in liquidation or dissolution of the Company; (ii) the consummation of a merger or consolidation of the Company with any other corporation or other entity, other than (I) a merger or consolidation (A) which results in the voting securities of the Company outstanding immediately prior to such merger or consolidation continuing to represent fifty percent (50%) or more of the combined voting power of the surviving entity or the ultimate parent thereof outstanding immediately after such merger or consolidation and (B) immediately following which the individuals who comprise the Board immediately prior thereto constitute fifty percent (50%) or more of the board of directors of the entity surviving such merger or consolidation or, if the Company or the entity surviving such merger or consolidation is then a subsidiary, the ultimate parent thereof, or (II) a merger or consolidation effected to implement a recapitalization of the Company (or similar transaction) in which no Person is or becomes the beneficial owner (within the meaning of Rule 13d-3 of the Securities Exchange Act of 1934, as amended (the “1934 Act”)), directly or indirectly, of securities of the Company (not including in the securities beneficially owned by such Person any securities acquired directly from the Company or its affiliates) representing more than fifty percent (50%) of the combined voting power of the Company’s then outstanding securities; (iii) any person or related group of persons (other than the Company or a person that directly or indirectly controls, is controlled by, or is under common control with, the Company) directly or indirectly acquires beneficial ownership (within the meaning of Rule 13d-3 of the 1934 Act) of securities possessing more than fifty percent (50%) of the total combined voting of the Company’s outstanding securities pursuant to a tender or exchange offer made directly to the Company’s stockholders; or (iv) a change in the composition of the Board over a period of twelve (12) consecutive months such that a majority of the Board members (rounded up to the next whole number) ceases to be comprised of individuals who either (A) have been Board members continuously since the beginning of such period or (B) have been elected or nominated for election as Board members during such period by at least two-thirds of the Board members described in clause (A) who were still in office at the time such election or nomination was approved by the Board.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all purposes under this Agreement, “Constructive Termination” shall mean a resignation of employment within 30 days of the occurrence of any of the following events which occurs within 6 months following a Change of Control: (i) a material reduction in Employee’s responsibilities; (ii) a material reduction in Employee’s Base Salary, unless such reduction is comparable in percentage to, and is part of, a reduction in the base salary of all executives of the Company; or (iii) a relocation of Employee’s principal office to a location more than 50 miles from the location of Employee’s principal office immediately preceding a Change of Control. </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(c) The Company’s obligation to provide Severance is conditioned upon Employee returning to the Company all of its property and confidential information that is in Employee’s possession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and Employee’s execution and non-revocation of an enforceable release of claims (the “Release”). If Employee chooses not to execute the Release, revokes Employee’s execution of the Release, or fails to comply with the terms of the Release, then the Company shall have no obligation to provide Severance and such Severance amount is subject to recoupment by the Company. The Release shall be provided to Employee no later than seven (7) days following Employee’s separation from service and Employee must execute it within the time period specified in the Release (which shall not be longer than forty-five (45) days from the date of receipt). The Release shall not be effective until any applicable revocation period has expired.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5. Non-Competition; Proprietary Information and Inventions.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 Proprietary Information and Inventions Agreement; Non-Competition and Non-Solicitation Agreement. As a condition precedent to the employment of Employee by the Company pursuant to the terms of this Agreement, Employee shall execute (i) the Company’s Proprietary Information and Inventions Agreement, attached hereto as Exhibit A, and (ii) the Company’s Non-Competition and Non-Solicitation Agreement, attached hereto as Exhibit B.</w:t>
      </w:r>
      <w:r>
        <w:rPr>
          <w:rFonts w:ascii="Arial;sans-serif" w:hAnsi="Arial;sans-serif"/>
          <w:b w:val="false"/>
          <w:color w:val="000000"/>
          <w:sz w:val="14"/>
        </w:rPr>
        <w:t>1</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 Equitable Remedies. Employee acknowledges and recognizes that a violation of the Proprietary Information and Inventions Agreement or the Non-Competition and Non-Solicitation Agreement by Employee may cause irreparable and substantial damage and harm to the Company or its affiliates, could constitute a failure of consideration, and that money damages will not provide a full remedy for the Company for such violations. Employee agrees that in the event of Employee’s breach of the Proprietary Information and Inventions Agreement or the Non-Competition and Non-Solicitation Agreement, the Company will be entitled, if it so elects, to institute and prosecute proceedings at law or in equity to obtain damages with respect to such breach, to enforce the specific performance of such agreement(s) by Employee, and to enjoin Employee from engaging in any activity in violation hereof.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6. Miscellaneous.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(a)    </w:t>
      </w:r>
      <w:r>
        <w:rPr>
          <w:rFonts w:ascii="Arial;sans-serif" w:hAnsi="Arial;sans-serif"/>
          <w:b w:val="false"/>
          <w:color w:val="000000"/>
          <w:sz w:val="22"/>
          <w:u w:val="single"/>
        </w:rPr>
        <w:t>Entire Agreement</w:t>
      </w:r>
      <w:r>
        <w:rPr>
          <w:rFonts w:ascii="Arial;sans-serif" w:hAnsi="Arial;sans-serif"/>
          <w:b w:val="false"/>
          <w:color w:val="000000"/>
          <w:sz w:val="22"/>
        </w:rPr>
        <w:t xml:space="preserve">. This Agreement, including the exhibits hereto, constitutes the entire agreement between the parties relating to the employment of Employee by the Company and there are no terms relating to such employment other than those contained in this Agreement and supersedes all other agreements or understandings related to the subject matter contained herein. No modification or variation hereof shall be deemed valid unless in writing and signed by the parties hereto. No waiver by either party of any provision or condition of this Agreement shall be deemed a waiver of similar or dissimilar provisions or conditions at any time.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(b)    </w:t>
      </w:r>
      <w:r>
        <w:rPr>
          <w:rFonts w:ascii="Arial;sans-serif" w:hAnsi="Arial;sans-serif"/>
          <w:b w:val="false"/>
          <w:color w:val="000000"/>
          <w:sz w:val="22"/>
          <w:u w:val="single"/>
        </w:rPr>
        <w:t>Assignability</w:t>
      </w:r>
      <w:r>
        <w:rPr>
          <w:rFonts w:ascii="Arial;sans-serif" w:hAnsi="Arial;sans-serif"/>
          <w:b w:val="false"/>
          <w:color w:val="000000"/>
          <w:sz w:val="22"/>
        </w:rPr>
        <w:t xml:space="preserve">. This Agreement may not be assigned without prior written consent of the parties hereto, except that the Company may assign this Agreement to a wholly-owned subsidiary of the Company without prior written consent of Employee. To the extent allowable pursuant to this Agreement, this Agreement shall be binding upon and shall inure to the benefit of each of the parties hereto and their respective executors, administrators, personal representatives, heirs, successors and assigns. </w:t>
      </w:r>
    </w:p>
    <w:p>
      <w:pPr>
        <w:pStyle w:val="TextBody"/>
        <w:bidi w:val="0"/>
        <w:spacing w:before="0" w:after="0"/>
        <w:jc w:val="both"/>
        <w:rPr/>
      </w:pPr>
      <w:r>
        <w:rPr/>
      </w:r>
    </w:p>
    <w:p>
      <w:pPr>
        <w:pStyle w:val="TextBody"/>
        <w:bidi w:val="0"/>
        <w:spacing w:lineRule="auto" w:line="288"/>
        <w:jc w:val="left"/>
        <w:rPr/>
      </w:pPr>
      <w:r>
        <w:rPr>
          <w:rFonts w:ascii="Arial;sans-serif" w:hAnsi="Arial;sans-serif"/>
          <w:b w:val="false"/>
          <w:color w:val="000000"/>
          <w:sz w:val="16"/>
        </w:rPr>
        <w:t>1</w:t>
      </w:r>
      <w:r>
        <w:rPr>
          <w:color w:val="000000"/>
        </w:rPr>
        <w:t xml:space="preserve"> </w:t>
      </w:r>
      <w:r>
        <w:rPr>
          <w:rFonts w:ascii="Times New Roman;serif" w:hAnsi="Times New Roman;serif"/>
          <w:b w:val="false"/>
          <w:color w:val="000000"/>
          <w:sz w:val="20"/>
        </w:rPr>
        <w:t>The originally executed Proprietary Information and Inventions Agreement (Exhibit A) and the Non-Competition and Non-Solicitation Agreement (Exhibit B) by Babar Ghias shall be appended hereto in PDF format.</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pPr>
      <w:r>
        <w:rPr>
          <w:rFonts w:ascii="Arial;sans-serif" w:hAnsi="Arial;sans-serif"/>
          <w:b w:val="false"/>
          <w:color w:val="000000"/>
          <w:sz w:val="22"/>
        </w:rPr>
        <w:t>(c)    </w:t>
      </w:r>
      <w:r>
        <w:rPr>
          <w:rFonts w:ascii="Arial;sans-serif" w:hAnsi="Arial;sans-serif"/>
          <w:b w:val="false"/>
          <w:color w:val="000000"/>
          <w:sz w:val="22"/>
          <w:u w:val="single"/>
        </w:rPr>
        <w:t>Notices</w:t>
      </w:r>
      <w:r>
        <w:rPr>
          <w:rFonts w:ascii="Arial;sans-serif" w:hAnsi="Arial;sans-serif"/>
          <w:b w:val="false"/>
          <w:color w:val="000000"/>
          <w:sz w:val="22"/>
        </w:rPr>
        <w:t xml:space="preserve">. Any notice or other communication given or rendered hereunder by any party hereto shall be in writing and delivered personally or sent by registered or certified mail, postage prepaid, at the respective addresses of the parties hereto as set forth below.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(d)    </w:t>
      </w:r>
      <w:r>
        <w:rPr>
          <w:rFonts w:ascii="Arial;sans-serif" w:hAnsi="Arial;sans-serif"/>
          <w:b w:val="false"/>
          <w:color w:val="000000"/>
          <w:sz w:val="22"/>
          <w:u w:val="single"/>
        </w:rPr>
        <w:t>Captions</w:t>
      </w:r>
      <w:r>
        <w:rPr>
          <w:rFonts w:ascii="Arial;sans-serif" w:hAnsi="Arial;sans-serif"/>
          <w:b w:val="false"/>
          <w:color w:val="000000"/>
          <w:sz w:val="22"/>
        </w:rPr>
        <w:t xml:space="preserve">. The section headings contained herein are inserted only as a matter of convenience and reference and in no way define, limit or describe the scope of this Agreement or the intent of any provision hereof.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(e)    </w:t>
      </w:r>
      <w:r>
        <w:rPr>
          <w:rFonts w:ascii="Arial;sans-serif" w:hAnsi="Arial;sans-serif"/>
          <w:b w:val="false"/>
          <w:color w:val="000000"/>
          <w:sz w:val="22"/>
          <w:u w:val="single"/>
        </w:rPr>
        <w:t>Taxes</w:t>
      </w:r>
      <w:r>
        <w:rPr>
          <w:rFonts w:ascii="Arial;sans-serif" w:hAnsi="Arial;sans-serif"/>
          <w:b w:val="false"/>
          <w:color w:val="000000"/>
          <w:sz w:val="22"/>
        </w:rPr>
        <w:t xml:space="preserve">. All amounts to be paid to Employee hereunder are in the nature of compensation for Employee’s employment by the Company, and shall be subject to withholding, income, occupation and payroll taxes and other charges applicable to such compensation.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(f)    </w:t>
      </w:r>
      <w:r>
        <w:rPr>
          <w:rFonts w:ascii="Arial;sans-serif" w:hAnsi="Arial;sans-serif"/>
          <w:b w:val="false"/>
          <w:color w:val="000000"/>
          <w:sz w:val="22"/>
          <w:u w:val="single"/>
        </w:rPr>
        <w:t>Section 409A</w:t>
      </w:r>
      <w:r>
        <w:rPr>
          <w:rFonts w:ascii="Arial;sans-serif" w:hAnsi="Arial;sans-serif"/>
          <w:b w:val="false"/>
          <w:color w:val="000000"/>
          <w:sz w:val="22"/>
        </w:rPr>
        <w:t xml:space="preserve">. The parties intend for the payments and benefits under this Agreement to be exempt from Section 409A of the Internal Revenue Code of 1986, as amended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the Company shall reasonably confer with Employee in order to modify or amend this Agreement to comply with Section 409A of the Code and to do so in a manner to best preserve the economic benefit of this Agreement. Notwithstanding anything contained herein to the contrary, (i) in the event (A) any payments described in Section 4 would be “deferred compensation” subject to Section 409A of the Code; and (B) Employee is a “specified employee” (as defined in Code Section 409A(2)(B)(i)), such payments shall, to the extent required by Code Section 409A, be delayed for the minimum period and in the minimum manner necessary to avoid the imposition of the tax required by Section 409A of the Code; (ii) each amount to be paid or benefit to be provided under this Agreement shall be construed as a separately identified payment for purposes of Section 409A of the Code; (iii) any payments that are due within the “short term deferral period” as defined in Section 409A of the Code shall not be treated as deferred compensation unless applicable law requires otherwise; and (iv) amounts reimbursable to Employee under this Agreement shall be paid to Employee on or before the last day of the year following the year in which the expense was incurred and the amount of expenses eligible for reimbursement (and in-kind benefits provided to Employee) during any one (1) year may not affect amounts reimbursable or provided in any subsequent year. Notwithstanding anything in this Agreement to the contrary, in the event any payments hereunder could occur in one of two calendar years as a result of being dependent upon the Release becoming nonrevocable, then, to the extent required to avoid the imposition of taxes or penalties under Section 409A of the Code, such payments shall commence on the first regularly scheduled payroll date of the Company, following the date the Release becomes nonrevocable, that occurs in the second of such two calendar years. </w:t>
      </w:r>
    </w:p>
    <w:p>
      <w:pPr>
        <w:pStyle w:val="TextBody"/>
        <w:bidi w:val="0"/>
        <w:spacing w:before="0" w:after="0"/>
        <w:jc w:val="both"/>
        <w:rPr/>
      </w:pPr>
      <w:r>
        <w:rPr/>
      </w:r>
    </w:p>
    <w:p>
      <w:pPr>
        <w:pStyle w:val="TextBody"/>
        <w:bidi w:val="0"/>
        <w:spacing w:lineRule="auto" w:line="288"/>
        <w:jc w:val="both"/>
        <w:rPr/>
      </w:pPr>
      <w:r>
        <w:rPr>
          <w:rFonts w:ascii="Arial;sans-serif" w:hAnsi="Arial;sans-serif"/>
          <w:b w:val="false"/>
          <w:color w:val="000000"/>
          <w:sz w:val="22"/>
        </w:rPr>
        <w:t>(g)    </w:t>
      </w:r>
      <w:r>
        <w:rPr>
          <w:rFonts w:ascii="Arial;sans-serif" w:hAnsi="Arial;sans-serif"/>
          <w:b w:val="false"/>
          <w:color w:val="000000"/>
          <w:sz w:val="22"/>
          <w:u w:val="single"/>
        </w:rPr>
        <w:t>Golden Parachute Provisions</w:t>
      </w:r>
      <w:r>
        <w:rPr>
          <w:rFonts w:ascii="Arial;sans-serif" w:hAnsi="Arial;sans-serif"/>
          <w:b w:val="false"/>
          <w:color w:val="000000"/>
          <w:sz w:val="22"/>
        </w:rPr>
        <w:t xml:space="preserve">. If it is determined that any payment or benefit provided by the Company to or for the benefit of Employee, whether paid or payable or distributed or distributable pursuant to the terms of this Agreement or otherwise, including, by example and not by way of limitation, acceleration by the Company or otherwise of the date of vesting or payment under any plan, program, arrangement or agreement of the Company would be subject to the excise tax imposed by Internal Revenue Code section 4999 or any interest or penalties with respect to such excise tax (such excise tax together with any such interest and penalties, shall be referred to as the “Excise Tax”), then the Company shall first make a calculation under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which such payments or benefits provided to Employee are reduced to the extent necessary so that no portion thereof shall be subject to the Excise Tax (the “4999 Limit”). The Company shall then compare (i) Employee’s Net After-Tax Benefit (as defined below) assuming application of the 4999 Limit with (ii) Employee’s Net After-Tax Benefit without application of the 4999 Limit. Employee shall be entitled to the greater of (i) or (ii). “Net After-Tax Benefit” shall mean the sum of (x) all payments that Employee receives or is entitled to receive that are contingent on a change in the ownership or effective control of the Company or in the ownership of a substantial portion of the assets of the Company within the meaning of Internal Revenue Code section 280G(b)(2), less (y) the amount of federal, state, local, employment, and Excise Tax (if any) imposed with respect to such payments. Any reduction pursuant to this Section 6(g) shall be implemented by determining the Parachute Payment Ratio (as defined below) for each “parachute payment” and then reducing the “parachute payments” in order beginning with the “parachute payment” with the highest Parachute Payment Ratio. For “parachute payments” with the same Parachute Payment Ratio, such “parachute payments” shall be reduced based on the time of payment of such “parachute payments,” with amounts having later payment dates being reduced first. For “parachute payments” with the same Parachute Payment Ratio and the same time of payment, such “parachute payments” shall be reduced on a pro rata basis (but not below zero) prior to reducing “parachute payments” with a lower Parachute Payment Ratio. “Parachute Payment Ratio” shall mean a fraction the numerator of which is the value of the applicable “parachute payment” for purposes of Internal Revenue Code Section 280G and the denominator of which is the actual present value of such payment.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rPr>
        <w:t>(h)    </w:t>
      </w:r>
      <w:r>
        <w:rPr>
          <w:rFonts w:ascii="Arial;sans-serif" w:hAnsi="Arial;sans-serif"/>
          <w:b w:val="false"/>
          <w:color w:val="000000"/>
          <w:sz w:val="22"/>
          <w:u w:val="single"/>
        </w:rPr>
        <w:t>Governing Law</w:t>
      </w:r>
      <w:r>
        <w:rPr>
          <w:rFonts w:ascii="Arial;sans-serif" w:hAnsi="Arial;sans-serif"/>
          <w:b w:val="false"/>
          <w:color w:val="000000"/>
          <w:sz w:val="22"/>
        </w:rPr>
        <w:t xml:space="preserve">. This Agreement is made and shall be governed by and construed in accordance with the laws of the State of North Carolina without respect to its conflicts of law principles.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u w:val="single"/>
        </w:rPr>
        <w:t>VOLUNTARILY ACCEPTED AND AGREED</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u w:val="single"/>
        </w:rPr>
        <w:t>By signing this Agreement, you confirm that you have received a copy of the PIIA and non-compete, Exhibit A and Exhibit B hereto, respectively, at least 14 days before your start date. You also acknowledge that you have been advised by the Company to seek the advice of an attorney prior to signing this Agreement.</w:t>
      </w:r>
      <w:r>
        <w:rPr>
          <w:color w:val="000000"/>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IN WITNESS WHEREOF</w:t>
      </w:r>
      <w:r>
        <w:rPr>
          <w:rFonts w:ascii="Arial;sans-serif" w:hAnsi="Arial;sans-serif"/>
          <w:b w:val="false"/>
          <w:color w:val="000000"/>
          <w:sz w:val="22"/>
        </w:rPr>
        <w:t xml:space="preserve">, this Amended and Restated Employment Agreement has been executed as of the day and year first above written.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color w:val="000000"/>
          <w:sz w:val="22"/>
        </w:rPr>
      </w:pPr>
      <w:r>
        <w:rPr>
          <w:rFonts w:ascii="Arial;sans-serif" w:hAnsi="Arial;sans-serif"/>
          <w:b/>
          <w:color w:val="000000"/>
          <w:sz w:val="22"/>
        </w:rPr>
        <w:t>BABAR GHIAS (“Employee”):</w:t>
      </w:r>
    </w:p>
    <w:p>
      <w:pPr>
        <w:pStyle w:val="TextBody"/>
        <w:bidi w:val="0"/>
        <w:spacing w:lineRule="auto" w:line="288" w:before="0" w:after="0"/>
        <w:ind w:left="0" w:right="0" w:firstLine="720"/>
        <w:jc w:val="both"/>
        <w:rPr/>
      </w:pPr>
      <w:r>
        <w:rPr>
          <w:rFonts w:ascii="Arial;sans-serif" w:hAnsi="Arial;sans-serif"/>
          <w:b w:val="false"/>
          <w:color w:val="000000"/>
          <w:sz w:val="22"/>
        </w:rPr>
        <w:t>By:     </w:t>
      </w:r>
      <w:r>
        <w:rPr>
          <w:rFonts w:ascii="Arial;sans-serif" w:hAnsi="Arial;sans-serif"/>
          <w:b w:val="false"/>
          <w:color w:val="000000"/>
          <w:sz w:val="22"/>
          <w:u w:val="single"/>
        </w:rPr>
        <w:t xml:space="preserve">/s/ Babar Ghias </w:t>
      </w:r>
    </w:p>
    <w:p>
      <w:pPr>
        <w:pStyle w:val="TextBody"/>
        <w:bidi w:val="0"/>
        <w:spacing w:lineRule="auto" w:line="288" w:before="0" w:after="0"/>
        <w:ind w:left="0" w:right="0" w:firstLine="720"/>
        <w:jc w:val="both"/>
        <w:rPr/>
      </w:pPr>
      <w:r>
        <w:rPr>
          <w:rFonts w:ascii="Arial;sans-serif" w:hAnsi="Arial;sans-serif"/>
          <w:b w:val="false"/>
          <w:color w:val="000000"/>
          <w:sz w:val="22"/>
        </w:rPr>
        <w:t>Name:     </w:t>
      </w:r>
      <w:r>
        <w:rPr>
          <w:rFonts w:ascii="Arial;sans-serif" w:hAnsi="Arial;sans-serif"/>
          <w:b w:val="false"/>
          <w:color w:val="000000"/>
          <w:sz w:val="22"/>
          <w:u w:val="single"/>
        </w:rPr>
        <w:t xml:space="preserve">Babar Ghias </w:t>
      </w:r>
    </w:p>
    <w:p>
      <w:pPr>
        <w:pStyle w:val="TextBody"/>
        <w:bidi w:val="0"/>
        <w:spacing w:lineRule="auto" w:line="288" w:before="0" w:after="0"/>
        <w:ind w:left="0" w:right="0" w:firstLine="720"/>
        <w:jc w:val="both"/>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23 July 2025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color w:val="000000"/>
          <w:sz w:val="22"/>
        </w:rPr>
        <w:t>BIOCRYST PHARMACEUTICALS, INC. (“Company”):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Arial;sans-serif" w:hAnsi="Arial;sans-serif"/>
          <w:b w:val="false"/>
          <w:color w:val="000000"/>
          <w:sz w:val="22"/>
        </w:rPr>
        <w:t>By:    </w:t>
      </w:r>
      <w:r>
        <w:rPr>
          <w:rFonts w:ascii="Arial;sans-serif" w:hAnsi="Arial;sans-serif"/>
          <w:b w:val="false"/>
          <w:color w:val="000000"/>
          <w:sz w:val="22"/>
          <w:u w:val="single"/>
        </w:rPr>
        <w:t xml:space="preserve">/s/ Jon Stonehouse </w:t>
      </w:r>
    </w:p>
    <w:p>
      <w:pPr>
        <w:pStyle w:val="TextBody"/>
        <w:bidi w:val="0"/>
        <w:spacing w:lineRule="auto" w:line="288" w:before="0" w:after="0"/>
        <w:ind w:left="0" w:right="0" w:firstLine="720"/>
        <w:jc w:val="both"/>
        <w:rPr/>
      </w:pPr>
      <w:r>
        <w:rPr>
          <w:rFonts w:ascii="Arial;sans-serif" w:hAnsi="Arial;sans-serif"/>
          <w:b w:val="false"/>
          <w:color w:val="000000"/>
          <w:sz w:val="22"/>
        </w:rPr>
        <w:t>Name:    </w:t>
      </w:r>
      <w:r>
        <w:rPr>
          <w:rFonts w:ascii="Arial;sans-serif" w:hAnsi="Arial;sans-serif"/>
          <w:b w:val="false"/>
          <w:color w:val="000000"/>
          <w:sz w:val="22"/>
          <w:u w:val="single"/>
        </w:rPr>
        <w:t xml:space="preserve">Jon Stonehouse </w:t>
      </w:r>
    </w:p>
    <w:p>
      <w:pPr>
        <w:pStyle w:val="TextBody"/>
        <w:bidi w:val="0"/>
        <w:spacing w:lineRule="auto" w:line="288" w:before="0" w:after="0"/>
        <w:ind w:left="0" w:right="0" w:firstLine="720"/>
        <w:jc w:val="both"/>
        <w:rPr/>
      </w:pPr>
      <w:r>
        <w:rPr>
          <w:rFonts w:ascii="Arial;sans-serif" w:hAnsi="Arial;sans-serif"/>
          <w:b w:val="false"/>
          <w:color w:val="000000"/>
          <w:sz w:val="22"/>
        </w:rPr>
        <w:t>Title:    </w:t>
      </w:r>
      <w:r>
        <w:rPr>
          <w:rFonts w:ascii="Arial;sans-serif" w:hAnsi="Arial;sans-serif"/>
          <w:b w:val="false"/>
          <w:color w:val="000000"/>
          <w:sz w:val="22"/>
          <w:u w:val="single"/>
        </w:rPr>
        <w:t>Chief Executive Officer</w:t>
      </w:r>
      <w:r>
        <w:rPr>
          <w:rFonts w:ascii="Arial;sans-serif" w:hAnsi="Arial;sans-serif"/>
          <w:b w:val="false"/>
          <w:color w:val="000000"/>
          <w:sz w:val="22"/>
        </w:rPr>
        <w:t xml:space="preserve">________________ </w:t>
      </w:r>
    </w:p>
    <w:p>
      <w:pPr>
        <w:pStyle w:val="TextBody"/>
        <w:bidi w:val="0"/>
        <w:spacing w:lineRule="auto" w:line="288" w:before="0" w:after="0"/>
        <w:ind w:left="0" w:right="0" w:firstLine="720"/>
        <w:jc w:val="both"/>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23 July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A</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(Proprietary Information and Inventions Agreement)</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EMPLOYEE’S PROPRIETARY INFORMATION AND INVENTIONS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 Babar Ghias, recognize that BioCryst Pharmaceuticals, Inc., a Delaware corporation (hereinafter the “Company” and together with its subsidiaries, including existing and future</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subsidiaries, the “Company Group”), is engaged in a continuous program of research, development, and production respecting its business, present and future, including fields generally related to its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 understand that:</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A.As part of my employment by a member of the Company Group, I will faithfully and diligently serve and endeavor to further and safeguard the interests of the Company Group, and I recognize that I am expected to make new contributions and inventions of value to the Company Group;</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B.My employment creates a relationship of confidence and trust between me and the Company Group with respect to any information:</w:t>
      </w:r>
    </w:p>
    <w:p>
      <w:pPr>
        <w:pStyle w:val="TextBody"/>
        <w:bidi w:val="0"/>
        <w:spacing w:before="0" w:after="0"/>
        <w:jc w:val="both"/>
        <w:rPr/>
      </w:pPr>
      <w:r>
        <w:rPr/>
      </w:r>
    </w:p>
    <w:p>
      <w:pPr>
        <w:pStyle w:val="TextBody"/>
        <w:bidi w:val="0"/>
        <w:spacing w:lineRule="auto" w:line="288" w:before="0" w:after="0"/>
        <w:ind w:left="0" w:right="0" w:hanging="470"/>
        <w:jc w:val="both"/>
        <w:rPr>
          <w:rFonts w:ascii="Arial;sans-serif" w:hAnsi="Arial;sans-serif"/>
          <w:b w:val="false"/>
          <w:color w:val="000000"/>
          <w:sz w:val="22"/>
        </w:rPr>
      </w:pPr>
      <w:r>
        <w:rPr>
          <w:rFonts w:ascii="Arial;sans-serif" w:hAnsi="Arial;sans-serif"/>
          <w:b w:val="false"/>
          <w:color w:val="000000"/>
          <w:sz w:val="22"/>
        </w:rPr>
        <w:t>i.Applicable to the business of the Company Group; or</w:t>
      </w:r>
    </w:p>
    <w:p>
      <w:pPr>
        <w:pStyle w:val="TextBody"/>
        <w:bidi w:val="0"/>
        <w:spacing w:before="0" w:after="0"/>
        <w:jc w:val="both"/>
        <w:rPr/>
      </w:pPr>
      <w:r>
        <w:rPr/>
      </w:r>
    </w:p>
    <w:p>
      <w:pPr>
        <w:pStyle w:val="TextBody"/>
        <w:bidi w:val="0"/>
        <w:spacing w:lineRule="auto" w:line="288" w:before="0" w:after="0"/>
        <w:ind w:left="0" w:right="0" w:hanging="519"/>
        <w:jc w:val="both"/>
        <w:rPr>
          <w:rFonts w:ascii="Arial;sans-serif" w:hAnsi="Arial;sans-serif"/>
          <w:b w:val="false"/>
          <w:color w:val="000000"/>
          <w:sz w:val="22"/>
        </w:rPr>
      </w:pPr>
      <w:r>
        <w:rPr>
          <w:rFonts w:ascii="Arial;sans-serif" w:hAnsi="Arial;sans-serif"/>
          <w:b w:val="false"/>
          <w:color w:val="000000"/>
          <w:sz w:val="22"/>
        </w:rPr>
        <w:t>ii.Applicable to the business of any client or customer of the Company Group which may be made known to me by the Company Group or by any client or customer of Company Group, or learned by me during the period of my employment.</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C.The Company Group possesses and will continue to possess information that has been created, discovered or developed by, or assigned, disclosed or otherwise become known to, it (including without limitation information created, discovered, developed, disclosed or made known by me during the period of or arising out of my employment by any member of the Company Group), which information is not generally known to the public. All of the aforementioned information is hereinafter called “Proprietary Information.” By way of illustration, but not limitation, Proprietary Information includes trade secrets, processes, formulas, data and know-how, improvements, inventions, techniques, marketing plans, financial information, strategies, forecasts, and customer lists.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 consideration of my employment or continued employment, as the case may be, by any member of the Company Group and the compensation received by me from the Company Group from time to time, I hereby agree as follows: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1.    All Proprietary Information shall be the sole property of the Company and its assigns, and the Company and its assigns shall be the sole owner of all patents and other rights, title, and interest in connection therewith. I hereby assign to the Company any and all rights I may have or acquire in such Proprietary Information and/or patents. At all times, both during my employment by any member of the Company Group and after termination, I will keep in confidence and trust all Proprietary Information, and I will not use or disclose any Proprietary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Information or anything relating to it without the prior written consent of the Company Group, except as may be necessary in the ordinary course of performing my duties as an employee of the Company or any member of the Company Group. In the event I am required to disclose Proprietary Information pursuant to applicable law or court order, I shall, whenever legally permissible, promptly disclose such request to the Company, and cooperate with the Company to seek a protective order and to otherwise limit such disclosure from becoming public.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2.    Notwithstanding anything set forth in this Agreement, or any other agreement that I have with the Company or its affiliates to the contrary, I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am I required to notify the Company regarding any such reporting, disclosure or cooperation with the government. Pursuant to 18 U.S.C. § 1833(b), I understand that I will not be held criminally or civilly liable under any federal or state trade secret law for the disclosure of a trade secret of the Company or its affiliates that (i) is made (A) in confidence to a federal, state, or local government official, either directly or indirectly, or to my attorney and (B) solely for the purpose of reporting or investigating a suspected violation of law; or (ii) is made in a complaint or other document that is filed under seal in a lawsuit or other proceeding. I understand that if I file a lawsuit for retaliation by any member of the Company Group for reporting a suspected violation of law, I may disclose the trade secret to my attorney and use the trade secret information in the court proceeding if I (x) file any document containing the trade secret under seal, and (y) do not disclose the trade secret, except pursuant to court order. Nothing in this Agreement, or any other agreement that I have with the Company or its affiliates, is intended to conflict with 18 U.S.C. § 1833(b) or create liability for disclosures of trade secrets that are expressly allowed by such section.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3.    I agree that, during the period of my employment by any member of the Company Group, I will not, without the Company's express prior written consent, engage in any employment or consulting other than for the Company Group. In the event of the termination of my employment by me or by the Company Group for any reason or at any time upon Company’s request, I will promptly deliver to the Company all documents and data of any nature pertaining to my work with the Company Group and I will not take with me any documents or data of any description or any reproduction of any description containing or pertaining to any Proprietary Information.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4.    I will promptly and fully disclose to the Company, or any persons designated by it, all improvements, inventions, formulas, processes, techniques, know how, and data, whether or not patentable, copyrightable, or otherwise protectible as intellectual property, made or conceived or reduced to practice or learned by me, either alone or jointly with others, during the period of my employment by the Company which are related to or useful in the business of the Company, or result from tasks assigned me by the Company or result from use of premises owned, leased, or contracted for by the Company (all said improvements, inventions, formulas, processes, techniques, know how, and data shall be collectively hereinafter called “Inventions”). I agree to keep complete, accurate, and authentic accounts, notes, data, and records of all Inventions in the manner and form requested by the Company, which accounts, notes, data, and records shall be and remain the sole property of the Company. I agree to surrender the same promptly to the Company upon its request or, in the absence of such a request, upon the termination of my employment by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5.    I agree that all Inventions are and shall be the sole property of the Company and its assigns, and that the Company and its assigns shall be the sole owner of all intellectual property and other rights in connection therewith and by reason of my being employed by any member of the Company Group, to the extent permitted by law, all of the Inventions consisting of copyrightable subject matter is “work made for hire” as defined in the Copyright Act of 1976 (17 U.S.C. § 101). To the extent that any Invention is not a “work made for hire,” I hereby assign to the Company for no additional consideration any and all rights I may have or acquire in or to such Inventions, including the right to sue, counterclaim, and recover for all past, present, and future infringement, misappropriation, or dilution thereof, and all rights corresponding thereto throughout the world. I further agree as to all such Inventions to assist the Company in every proper way (but at the Company’s expense) to apply for, obtain, maintain and from time to time enforce such intellectual property rights, including patents and extensions and continuations of said patents, on said Inventions in any and all countries, and to that end I will execute all documents for use in applying for, obtaining and maintaining such intellectual property enforcing same, as the Company may desire, together with any further assignments thereof to the Company or persons designated by it. The foregoing obligation to assist the Company shall continue beyond the termination of my employment, but the Company shall compensate me at a reasonable rate after such termination for time actually spent by me at the Company’s request on such assistance.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    As a matter of record I attach hereto a complete list of all Inventions or improvements relevant to the subject matter of my employment by the Company Group which have been conceived, made, or reduced to practice by me, alone or jointly with others, prior to my engagement by the Company Group which I desire to remove from the operation of this Agreement. I covenant that such list is complete. If no such list is attached to this Agreement, I represent that I have no such Inventions and improvements at the time of signing this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7.    I represent that my performance of all of the terms of this Agreement and as an employee of any member of the Company does not and will not breach any agreement to keep in confidence Proprietary Information of any third party acquired by me in confidence or in trust prior to my employment by the Company. I have not entered into, and I agree that I will not enter into, any agreement either written or oral in conflict herewith.</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8.    I understand that, as part of the consideration of the offer of employment extended to me by the Company or of my continued employment by the Company, as the case may be, I will not bring, have not brought, with me to the Company Group and I will not use, have not used, in the performance of my responsibilities at the Company materials or documents of a former employer, unless I have obtained written authorization from the former employer for their possession and use. Accordingly, this is to advise the Company that the only materials that I will bring to the Company or use in my employment are identified on the attached sheet (Exhibit A) and, as to each such item, I represent that I have obtained, prior to the effective date of my employment with the Company, written authorization for their possession and use in my employment with any member of the Company. I also understand that, in my employment with the Company, I am not to breach any obligation of confidentiality that I have to former employers, and I agree that I shall fulfill all such obligations during my employment with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9.    This Agreement shall be effective as of the first day of my employment by the Company. I understand and agree that this Agreement is not a contract of employment.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10.    This Agreement shall be binding upon me, my heirs, executors, assigns, administrators, and other legal representatives and shall inure to the benefit of the Company, its successors and assigns.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 ON FOLLOWING PAGE]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IN WITNESS WHEREOF, the Company has caused this Proprietary Information and Inventions Agreement to be executed by its duly authorized officer and Employee has executed the same as of the dates set forth below.</w:t>
      </w:r>
    </w:p>
    <w:p>
      <w:pPr>
        <w:pStyle w:val="TextBody"/>
        <w:bidi w:val="0"/>
        <w:spacing w:before="0" w:after="0"/>
        <w:jc w:val="left"/>
        <w:rPr/>
      </w:pPr>
      <w:r>
        <w:rPr/>
      </w:r>
    </w:p>
    <w:p>
      <w:pPr>
        <w:pStyle w:val="TextBody"/>
        <w:bidi w:val="0"/>
        <w:spacing w:before="0" w:after="0"/>
        <w:jc w:val="left"/>
        <w:rPr/>
      </w:pPr>
      <w:r>
        <w:rPr/>
      </w:r>
    </w:p>
    <w:tbl>
      <w:tblPr>
        <w:tblW w:w="5039" w:type="dxa"/>
        <w:jc w:val="left"/>
        <w:tblInd w:w="0" w:type="dxa"/>
        <w:tblLayout w:type="fixed"/>
        <w:tblCellMar>
          <w:top w:w="28" w:type="dxa"/>
          <w:left w:w="28" w:type="dxa"/>
          <w:bottom w:w="28" w:type="dxa"/>
          <w:right w:w="28" w:type="dxa"/>
        </w:tblCellMar>
      </w:tblPr>
      <w:tblGrid>
        <w:gridCol w:w="1054"/>
        <w:gridCol w:w="927"/>
        <w:gridCol w:w="928"/>
        <w:gridCol w:w="623"/>
        <w:gridCol w:w="623"/>
        <w:gridCol w:w="88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BIOCRYST</w:t>
            </w:r>
          </w:p>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PHARMACEUTICALS, INC.</w:t>
            </w:r>
          </w:p>
        </w:tc>
        <w:tc>
          <w:tcPr>
            <w:tcW w:w="213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EMPLOYEE</w:t>
            </w:r>
          </w:p>
        </w:tc>
      </w:tr>
      <w:tr>
        <w:trPr/>
        <w:tc>
          <w:tcPr>
            <w:tcW w:w="2909"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 xml:space="preserve">By: </w:t>
            </w:r>
            <w:r>
              <w:rPr>
                <w:rFonts w:ascii="Arial;sans-serif" w:hAnsi="Arial;sans-serif"/>
                <w:b w:val="false"/>
                <w:color w:val="000000"/>
                <w:sz w:val="22"/>
                <w:u w:val="single"/>
              </w:rPr>
              <w:t xml:space="preserve">/s/ Jon Stonehouse </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2"/>
              </w:rPr>
              <w:t>Jon Stonehouse</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2"/>
              </w:rPr>
              <w:t>Chief Executive Officer</w:t>
            </w:r>
          </w:p>
          <w:p>
            <w:pPr>
              <w:pStyle w:val="TableContents"/>
              <w:bidi w:val="0"/>
              <w:spacing w:before="0" w:after="0"/>
              <w:jc w:val="left"/>
              <w:rPr/>
            </w:pPr>
            <w:r>
              <w:rPr/>
            </w:r>
          </w:p>
        </w:tc>
        <w:tc>
          <w:tcPr>
            <w:tcW w:w="213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Arial;sans-serif" w:hAnsi="Arial;sans-serif"/>
                <w:b w:val="false"/>
                <w:color w:val="000000"/>
                <w:sz w:val="22"/>
              </w:rPr>
              <w:t xml:space="preserve">By: </w:t>
            </w:r>
            <w:r>
              <w:rPr>
                <w:rFonts w:ascii="Arial;sans-serif" w:hAnsi="Arial;sans-serif"/>
                <w:b w:val="false"/>
                <w:color w:val="000000"/>
                <w:sz w:val="22"/>
                <w:u w:val="single"/>
              </w:rPr>
              <w:t xml:space="preserve">/s/ Babar Ghias </w:t>
            </w:r>
          </w:p>
          <w:p>
            <w:pPr>
              <w:pStyle w:val="TableContents"/>
              <w:bidi w:val="0"/>
              <w:spacing w:lineRule="auto" w:line="268" w:before="0" w:after="0"/>
              <w:jc w:val="left"/>
              <w:rPr>
                <w:color w:val="000000"/>
              </w:rPr>
            </w:pPr>
            <w:r>
              <w:rPr>
                <w:color w:val="000000"/>
              </w:rPr>
              <w:t>      </w:t>
            </w:r>
            <w:r>
              <w:rPr>
                <w:rFonts w:ascii="Arial;sans-serif" w:hAnsi="Arial;sans-serif"/>
                <w:b w:val="false"/>
                <w:color w:val="000000"/>
                <w:sz w:val="22"/>
              </w:rPr>
              <w:t>Babar Ghias</w:t>
            </w:r>
          </w:p>
          <w:p>
            <w:pPr>
              <w:pStyle w:val="TableContents"/>
              <w:bidi w:val="0"/>
              <w:spacing w:before="0" w:after="0"/>
              <w:jc w:val="left"/>
              <w:rPr/>
            </w:pPr>
            <w:r>
              <w:rPr/>
            </w:r>
          </w:p>
        </w:tc>
      </w:tr>
      <w:tr>
        <w:trPr/>
        <w:tc>
          <w:tcPr>
            <w:tcW w:w="290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09 June 2025 </w:t>
            </w:r>
          </w:p>
        </w:tc>
        <w:tc>
          <w:tcPr>
            <w:tcW w:w="213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68" w:before="0" w:after="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 xml:space="preserve">09 June 2025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Exhibit A to PIIA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Dear Sir/Madam: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2"/>
        </w:rPr>
        <w:t>I, ___</w:t>
      </w:r>
      <w:r>
        <w:rPr>
          <w:rFonts w:ascii="Arial;sans-serif" w:hAnsi="Arial;sans-serif"/>
          <w:b w:val="false"/>
          <w:color w:val="000000"/>
          <w:sz w:val="22"/>
          <w:u w:val="single"/>
        </w:rPr>
        <w:t>Babar Ghias</w:t>
      </w:r>
      <w:r>
        <w:rPr>
          <w:rFonts w:ascii="Arial;sans-serif" w:hAnsi="Arial;sans-serif"/>
          <w:b w:val="false"/>
          <w:color w:val="000000"/>
          <w:sz w:val="22"/>
        </w:rPr>
        <w:t>_________, propose to bring to my BioCryst employment the following tangible materials and previously unpublished documents, which materials and documents may be used in my BioCryst employment: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u w:val="single"/>
        </w:rPr>
        <w:t xml:space="preserve">X </w:t>
      </w:r>
      <w:r>
        <w:rPr>
          <w:rFonts w:ascii="Arial;sans-serif" w:hAnsi="Arial;sans-serif"/>
          <w:b w:val="false"/>
          <w:color w:val="000000"/>
          <w:sz w:val="22"/>
        </w:rPr>
        <w:t xml:space="preserve">No materials ____ See below _____ Additional sheets attached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signature below by a representative of my current or former employer confirms that my continued possession and use of these materials is authorized.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AUTHORIZATION: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_______________________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_______________________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Title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_______________________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Employer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Very truly yours,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u w:val="single"/>
        </w:rPr>
        <w:t>/s/ Babar Ghias</w:t>
      </w:r>
      <w:r>
        <w:rPr>
          <w:rFonts w:ascii="Arial;sans-serif" w:hAnsi="Arial;sans-serif"/>
          <w:b w:val="false"/>
          <w:color w:val="000000"/>
          <w:sz w:val="22"/>
        </w:rPr>
        <w:t>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Exhibit B</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(Non-Competition and Non-Solicitation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Non-Competition and Non-Solicitation Agreement (this “Agreement”) is made and entered into as of July 7, 2025 (the “Effective Date) by and between Babar Ghias (the “Employee”) and the member of the Company Group (as defined below) employing Employee (the “Company”). The Company and Employee are sometimes referred to in this Agreement individually as a “Party” and collectively as “Parties.”</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RECITALS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 xml:space="preserve">WHEREAS, </w:t>
      </w:r>
      <w:r>
        <w:rPr>
          <w:rFonts w:ascii="Arial;sans-serif" w:hAnsi="Arial;sans-serif"/>
          <w:b w:val="false"/>
          <w:color w:val="000000"/>
          <w:sz w:val="22"/>
        </w:rPr>
        <w:t>the Company is a member of the Company Group which is comprised of BioCryst Pharmaceuticals, Inc. and its existing and future subsidiaries and affiliates (individually or collectively, “Company Group”). For the purposes of this Agreement, employment with the Company Group shall mean employment by any member of the Company Group. Throughout this Agreement, BioCryst Pharmaceuticals, Inc. may be referred to as “Parent;”</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WHEREAS,</w:t>
      </w:r>
      <w:r>
        <w:rPr>
          <w:color w:val="000000"/>
        </w:rPr>
        <w:t xml:space="preserve"> </w:t>
      </w:r>
      <w:r>
        <w:rPr>
          <w:rFonts w:ascii="Arial;sans-serif" w:hAnsi="Arial;sans-serif"/>
          <w:b w:val="false"/>
          <w:color w:val="000000"/>
          <w:sz w:val="22"/>
        </w:rPr>
        <w:t>Employee is beginning an employment relationship with the Company (the “Employment Agreement”) as Chief Financial Officer which requires that Employee sign this Agreement as a condition of such employment, and is simultaneously entering into an Employee’s Proprietary Information and Inventions Agreement (the “PIIA”) with a member of the Company Group; and</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WHEREAS</w:t>
      </w:r>
      <w:r>
        <w:rPr>
          <w:rFonts w:ascii="Arial;sans-serif" w:hAnsi="Arial;sans-serif"/>
          <w:b w:val="false"/>
          <w:color w:val="000000"/>
          <w:sz w:val="22"/>
        </w:rPr>
        <w:t>, in consideration for Employee’s promises and obligations set forth herein, the Company is offering Employee severance pay as specifically described in the Employment Agreement, including that portion of the severance pay set forth in Section 4(b)(ii) of the Employment Agreement to which Employee was not previously entitled.</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22"/>
        </w:rPr>
        <w:t>NOW THEREFORE</w:t>
      </w:r>
      <w:r>
        <w:rPr>
          <w:rFonts w:ascii="Arial;sans-serif" w:hAnsi="Arial;sans-serif"/>
          <w:b w:val="false"/>
          <w:color w:val="000000"/>
          <w:sz w:val="22"/>
        </w:rPr>
        <w:t>, in consideration of the foregoing recitals (which are incorporated herein by reference) and the mutual promises and obligations set forth below and other good and valuable consideration, the receipt and sufficiency of which the Parties acknowledge, the Company and Employee agree as follows:</w:t>
      </w:r>
    </w:p>
    <w:p>
      <w:pPr>
        <w:pStyle w:val="TextBody"/>
        <w:bidi w:val="0"/>
        <w:spacing w:before="0" w:after="0"/>
        <w:jc w:val="left"/>
        <w:rPr/>
      </w:pPr>
      <w:r>
        <w:rPr/>
      </w:r>
    </w:p>
    <w:p>
      <w:pPr>
        <w:pStyle w:val="TextBody"/>
        <w:bidi w:val="0"/>
        <w:spacing w:lineRule="auto" w:line="288"/>
        <w:ind w:left="0" w:right="0" w:hanging="360"/>
        <w:jc w:val="both"/>
        <w:rPr/>
      </w:pPr>
      <w:r>
        <w:rPr>
          <w:rFonts w:ascii="Arial;sans-serif" w:hAnsi="Arial;sans-serif"/>
          <w:b/>
          <w:color w:val="000000"/>
          <w:sz w:val="22"/>
        </w:rPr>
        <w:t>1.</w:t>
      </w:r>
      <w:r>
        <w:rPr>
          <w:rFonts w:ascii="Arial;sans-serif" w:hAnsi="Arial;sans-serif"/>
          <w:b/>
          <w:color w:val="000000"/>
          <w:sz w:val="22"/>
          <w:u w:val="single"/>
        </w:rPr>
        <w:t>COMPANY BUSINESS AND PROTECTABLE INTERESTS.</w:t>
      </w:r>
      <w:r>
        <w:rPr>
          <w:color w:val="000000"/>
        </w:rPr>
        <w:t xml:space="preserve"> </w:t>
      </w:r>
      <w:r>
        <w:rPr>
          <w:rFonts w:ascii="Arial;sans-serif" w:hAnsi="Arial;sans-serif"/>
          <w:b w:val="false"/>
          <w:color w:val="000000"/>
          <w:sz w:val="22"/>
        </w:rPr>
        <w:t xml:space="preserve">Employee acknowledges that: (i) by virtue of Employee’s position with the Company, Employee will have access to Proprietary Information, as that term is defined in the PIIA, which information has not become publicly available through no fault of Employee (“Confidential Information”); (ii) the Company Group is currently engaged primarily, but not exclusively, in the business of the discovery, development and commercialization of medicines and programs for rare diseases (the “Business”); (iii) during the course of Employee’s employment, the Company Group’s Business may expand or change, in which case, such expansions or changes shall correspondingly expand or (if abandoned) contract the definition of “Business” and Employee’s obligations under this Agreement; (iv) due to the nature of the Business, Confidential Information developed by the Company Group in furtherance of the treatment for a particular rare disease would have commercial value to any other entity pursuing the development of medicines for the same disease regardless of the location of that entity, and the use of that information by such an entity would have a negative commercial impact on the Company Group; (v) the Company Group has clients, customers and collaborative partners throughout the United States and the world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and the specific location of a competing business is not necessarily relevant to the capacity of that business to compete with the Company Group; and (vi) the provisions of this Agreement are reasonably necessary to protect the Company Group’s legitimate business interests, are reasonable as to time, territory and scope of activities which are restricted, do not interfere with public policy or public interest and are described with sufficient accuracy and definiteness to enable Employee to understand the scope of the restrictions imposed upon Employee.</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color w:val="000000"/>
          <w:sz w:val="22"/>
        </w:rPr>
        <w:t>2.</w:t>
      </w:r>
      <w:r>
        <w:rPr>
          <w:rFonts w:ascii="Arial;sans-serif" w:hAnsi="Arial;sans-serif"/>
          <w:b/>
          <w:color w:val="000000"/>
          <w:sz w:val="22"/>
          <w:u w:val="single"/>
        </w:rPr>
        <w:t>COMPETITIVE BUSINESS ACTIVITIES.</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(a)Employee agrees that during the period of Employee’s employment with the Company Group and for a period of time ending on the date occurring one year after the date such Employee is no longer employed by any member of the Company Group (irrespective of the circumstances of such termination), Employee will not:</w:t>
      </w:r>
    </w:p>
    <w:p>
      <w:pPr>
        <w:pStyle w:val="TextBody"/>
        <w:bidi w:val="0"/>
        <w:spacing w:before="0" w:after="0"/>
        <w:jc w:val="both"/>
        <w:rPr/>
      </w:pPr>
      <w:r>
        <w:rPr/>
      </w:r>
    </w:p>
    <w:p>
      <w:pPr>
        <w:pStyle w:val="TextBody"/>
        <w:bidi w:val="0"/>
        <w:spacing w:lineRule="auto" w:line="288" w:before="0" w:after="0"/>
        <w:ind w:left="0" w:right="0" w:hanging="470"/>
        <w:jc w:val="both"/>
        <w:rPr>
          <w:rFonts w:ascii="Arial;sans-serif" w:hAnsi="Arial;sans-serif"/>
          <w:b w:val="false"/>
          <w:color w:val="000000"/>
          <w:sz w:val="22"/>
        </w:rPr>
      </w:pPr>
      <w:r>
        <w:rPr>
          <w:rFonts w:ascii="Arial;sans-serif" w:hAnsi="Arial;sans-serif"/>
          <w:b w:val="false"/>
          <w:color w:val="000000"/>
          <w:sz w:val="22"/>
        </w:rPr>
        <w:t>i.on Employee’s own or another’s behalf, whether as an officer, director, manager, stockholder, partner, member, associate, owner, employee, consultant, or otherwise do any of the following or provide material assistance to any other party or entity to do so:</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    engage in the Business with respect to medicines or programs</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with which Employee was materially involved on behalf of the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Company Group during Employee’s employment or with respect to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which Employee obtained Confidential Information during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Employee’s employment;</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(B)     solicit or do business which is the same, similar to or otherwise in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competition with the Business, from or with persons or entities: (a) </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who are clients, customers or collaborative partners of the Company Group; (b) with whom or which Employee or someone for whom Employee was responsible solicited, negotiated, contracted, serviced or had material contact with on the Company Group’s behalf; (c) with respect to whom or which Employee obtained Confidential Information during and as a consequence of Employee’s employment with the Company Group; or (d) who at any time during the last year of Employee’s employment with the Company Group, were clients, customers or collaborative partners of the Company Group; nor shall Employee request, induce, or solicit such persons or entities to curtail or cancel their business with the Company Group;</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     offer employment to, hire or otherwise solicit for employment any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 or other person who had been employed or retained by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Group during the last year of Employee’s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employment with the Company Group and with whom Employee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had material contacts during the course of Employee’s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employment; nor shall Employee request, induce, or solicit any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 or independent contractor of the Company Group who </w:t>
      </w:r>
    </w:p>
    <w:p>
      <w:pPr>
        <w:pStyle w:val="TextBody"/>
        <w:bidi w:val="0"/>
        <w:spacing w:lineRule="auto" w:line="288"/>
        <w:ind w:left="0" w:right="0" w:firstLine="720"/>
        <w:jc w:val="both"/>
        <w:rPr>
          <w:rFonts w:ascii="Arial;sans-serif" w:hAnsi="Arial;sans-serif"/>
          <w:b w:val="false"/>
          <w:color w:val="000000"/>
          <w:sz w:val="22"/>
        </w:rPr>
      </w:pPr>
      <w:r>
        <w:rPr>
          <w:rFonts w:ascii="Arial;sans-serif" w:hAnsi="Arial;sans-serif"/>
          <w:b w:val="false"/>
          <w:color w:val="000000"/>
          <w:sz w:val="22"/>
        </w:rPr>
        <w:t xml:space="preserve">had been employed or retained by the Company Group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last year of Employee’s employment with the Company Group and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with whom Employee had material contacts during the course of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Employee's employment to terminate his or her employment or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independent contractor relationship with the Company Group; or </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000000"/>
          <w:sz w:val="22"/>
        </w:rPr>
      </w:pPr>
      <w:r>
        <w:rPr>
          <w:rFonts w:ascii="Arial;sans-serif" w:hAnsi="Arial;sans-serif"/>
          <w:b w:val="false"/>
          <w:color w:val="000000"/>
          <w:sz w:val="22"/>
        </w:rPr>
        <w:t>ii.take any action, which is materially detrimental, or otherwise intended to be adverse to the Company Group’s goodwill, name, business relations, prospects and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(b)     The restrictions set forth in Section 2(a)(i)(A) apply to the following separate and distinct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geographical areas: (i) the world; (ii) North America (iii) Europe; (iv) the United States; (v)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United Kingdom; (vi) Japan; (vii) the State of North Carolina; (viii) the State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Alabama; (ix) within a 60-mile radius of any location of the Company Group in which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Employee had an office or performed material services during Employee’s employment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with the Company Group; (x) any city, metropolitan area, county, state or country in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which Employee’s substantial services were provided, or for which Employee had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substantial responsibility, or in which Employee worked on Company Group projects,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while employed by the Company Group; (xi) any city, metropolitan area, county, state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country in which the Company Group is located or does or, during Employee’s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employment with the Company Group, did business.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(c)     The restrictions set forth in Section 2(a)(i)(A) apply only to prohibit Employee from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engaging in activities that are materially similar to the activities in which Employee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engaged on behalf of the Company Group or with respect to which Employee would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reasonably be expected to use Confidential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(d)     Notwithstanding the foregoing, Employee’s ownership, directly or indirectly, of not more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than one percent of the issued and outstanding stock of a corporation the shares of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which are regularly traded on a national securities exchange or in the over-the-counter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market shall not violate Section 2(a). </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For the avoidance of doubt, and notwithstanding any provision of this Agreement to the contrary, a transfer or assignment of employment, or an assignment of this Agreement, from the Company to a member of the Company Group or from one member of the Company Group to another member of the Company Group (in one or multiple instances), shall not be a termination of employment for the purposes of triggering the one year post-employment competitive business restrictions set forth above.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3. </w:t>
      </w:r>
      <w:r>
        <w:rPr>
          <w:rFonts w:ascii="Arial;sans-serif" w:hAnsi="Arial;sans-serif"/>
          <w:b/>
          <w:color w:val="000000"/>
          <w:sz w:val="22"/>
          <w:u w:val="single"/>
        </w:rPr>
        <w:t>REMEDIES.</w:t>
      </w:r>
      <w:r>
        <w:rPr>
          <w:color w:val="000000"/>
        </w:rPr>
        <w:t xml:space="preserve"> </w:t>
      </w:r>
      <w:r>
        <w:rPr>
          <w:rFonts w:ascii="Arial;sans-serif" w:hAnsi="Arial;sans-serif"/>
          <w:b w:val="false"/>
          <w:color w:val="000000"/>
          <w:sz w:val="22"/>
        </w:rPr>
        <w:t xml:space="preserve">Employee acknowledges that Employee’s failure to abide by this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Agreement would cause irreparable harm to the Company Group for which legal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remedies would be inadequate. Therefore, in addition to any legal or other relief to which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Group may be entitled by virtue of Employee’s failure to abide by these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provisions; the Company Group, or any member thereof, may seek equitable relief,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including, but not limited to, preliminary and permanent injunctive relief, for Employee’s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actual or threatened failure to abide by these provisions, and Employee will indemnify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Company Group for all expenses including attorneys’ fees in seeking to enforce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these provisions.</w:t>
      </w:r>
    </w:p>
    <w:p>
      <w:pPr>
        <w:pStyle w:val="TextBody"/>
        <w:bidi w:val="0"/>
        <w:spacing w:before="0" w:after="0"/>
        <w:ind w:left="0" w:right="0" w:firstLine="720"/>
        <w:jc w:val="both"/>
        <w:rPr/>
      </w:pPr>
      <w:r>
        <w:rPr/>
      </w:r>
    </w:p>
    <w:p>
      <w:pPr>
        <w:pStyle w:val="TextBody"/>
        <w:bidi w:val="0"/>
        <w:spacing w:lineRule="auto" w:line="288" w:before="0" w:after="0"/>
        <w:jc w:val="left"/>
        <w:rPr/>
      </w:pPr>
      <w:r>
        <w:rPr>
          <w:color w:val="000000"/>
        </w:rPr>
        <w:t>    </w:t>
      </w:r>
      <w:r>
        <w:rPr>
          <w:rFonts w:ascii="Arial;sans-serif" w:hAnsi="Arial;sans-serif"/>
          <w:b/>
          <w:color w:val="000000"/>
          <w:sz w:val="22"/>
        </w:rPr>
        <w:t xml:space="preserve">4. </w:t>
      </w:r>
      <w:r>
        <w:rPr>
          <w:rFonts w:ascii="Arial;sans-serif" w:hAnsi="Arial;sans-serif"/>
          <w:b/>
          <w:color w:val="000000"/>
          <w:sz w:val="22"/>
          <w:u w:val="single"/>
        </w:rPr>
        <w:t xml:space="preserve">TOLLING. </w:t>
      </w:r>
      <w:r>
        <w:rPr>
          <w:rFonts w:ascii="Arial;sans-serif" w:hAnsi="Arial;sans-serif"/>
          <w:b w:val="false"/>
          <w:color w:val="000000"/>
          <w:sz w:val="22"/>
        </w:rPr>
        <w:t xml:space="preserve">The period during which Employee must refrain from the activities set forth </w:t>
      </w:r>
    </w:p>
    <w:p>
      <w:pPr>
        <w:pStyle w:val="TextBody"/>
        <w:bidi w:val="0"/>
        <w:spacing w:lineRule="auto" w:line="288"/>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in Section 2(a) shall be tolled during any period in which Employee fails to abide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provisions.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5. </w:t>
      </w:r>
      <w:r>
        <w:rPr>
          <w:rFonts w:ascii="Arial;sans-serif" w:hAnsi="Arial;sans-serif"/>
          <w:b/>
          <w:color w:val="000000"/>
          <w:sz w:val="22"/>
          <w:u w:val="single"/>
        </w:rPr>
        <w:t>VIOLATION BY COMPANY.</w:t>
      </w:r>
      <w:r>
        <w:rPr>
          <w:color w:val="000000"/>
        </w:rPr>
        <w:t xml:space="preserve"> </w:t>
      </w:r>
      <w:r>
        <w:rPr>
          <w:rFonts w:ascii="Arial;sans-serif" w:hAnsi="Arial;sans-serif"/>
          <w:b w:val="false"/>
          <w:color w:val="000000"/>
          <w:sz w:val="22"/>
        </w:rPr>
        <w:t xml:space="preserve">In the event that Employee alleges and proves a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violation by the Company Group of any obligation of the Company Group to Employee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by agreement or operation of law, such violation shall not excuse Employee from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Employee’s obligations pursuant to this Agreement, but rather Employee shall be entitled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to remedies available for the specific violation alleged and proven.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6. </w:t>
      </w:r>
      <w:r>
        <w:rPr>
          <w:rFonts w:ascii="Arial;sans-serif" w:hAnsi="Arial;sans-serif"/>
          <w:b/>
          <w:color w:val="000000"/>
          <w:sz w:val="22"/>
          <w:u w:val="single"/>
        </w:rPr>
        <w:t>OTHER AGREEMENTS.</w:t>
      </w:r>
      <w:r>
        <w:rPr>
          <w:color w:val="000000"/>
        </w:rPr>
        <w:t xml:space="preserve"> </w:t>
      </w:r>
      <w:r>
        <w:rPr>
          <w:rFonts w:ascii="Arial;sans-serif" w:hAnsi="Arial;sans-serif"/>
          <w:b w:val="false"/>
          <w:color w:val="000000"/>
          <w:sz w:val="22"/>
        </w:rPr>
        <w:t>Nothing in this Agreement shall terminate, revoke,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diminish Employee’s obligations or the Company Group’s rights and remedies under law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or pursuant to the PIIA, relating to trade secrets or proprietary information.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7. </w:t>
      </w:r>
      <w:r>
        <w:rPr>
          <w:rFonts w:ascii="Arial;sans-serif" w:hAnsi="Arial;sans-serif"/>
          <w:b/>
          <w:color w:val="000000"/>
          <w:sz w:val="22"/>
          <w:u w:val="single"/>
        </w:rPr>
        <w:t>ENTIRE AGREEMENT.</w:t>
      </w:r>
      <w:r>
        <w:rPr>
          <w:color w:val="000000"/>
        </w:rPr>
        <w:t xml:space="preserve"> </w:t>
      </w:r>
      <w:r>
        <w:rPr>
          <w:rFonts w:ascii="Arial;sans-serif" w:hAnsi="Arial;sans-serif"/>
          <w:b w:val="false"/>
          <w:color w:val="000000"/>
          <w:sz w:val="22"/>
        </w:rPr>
        <w:t xml:space="preserve">This Agreement, the PIIA, and the Employment Agreement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together constitute the exclusive and complete agreement between the Parties with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respect to the subject matter contained herein and therein, and supersedes any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prior agreements or understandings regarding such subject matter.No change or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modification of this Agreement shall be valid or binding upon the Parties unless such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change or modification is in writing and is signed by the Parties.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8. </w:t>
      </w:r>
      <w:r>
        <w:rPr>
          <w:rFonts w:ascii="Arial;sans-serif" w:hAnsi="Arial;sans-serif"/>
          <w:b/>
          <w:color w:val="000000"/>
          <w:sz w:val="22"/>
          <w:u w:val="single"/>
        </w:rPr>
        <w:t>WAIVER OF BREACH.</w:t>
      </w:r>
      <w:r>
        <w:rPr>
          <w:color w:val="000000"/>
        </w:rPr>
        <w:t xml:space="preserve"> </w:t>
      </w:r>
      <w:r>
        <w:rPr>
          <w:rFonts w:ascii="Arial;sans-serif" w:hAnsi="Arial;sans-serif"/>
          <w:b w:val="false"/>
          <w:color w:val="000000"/>
          <w:sz w:val="22"/>
        </w:rPr>
        <w:t xml:space="preserve">The Company’s or Employee’s waiver of any breach of a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provision of this Agreement shall not waive any subsequent breach by the other Party.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9. </w:t>
      </w:r>
      <w:r>
        <w:rPr>
          <w:rFonts w:ascii="Arial;sans-serif" w:hAnsi="Arial;sans-serif"/>
          <w:b/>
          <w:color w:val="000000"/>
          <w:sz w:val="22"/>
          <w:u w:val="single"/>
        </w:rPr>
        <w:t>SEVERABILITY.</w:t>
      </w:r>
      <w:r>
        <w:rPr>
          <w:color w:val="000000"/>
        </w:rPr>
        <w:t xml:space="preserve"> </w:t>
      </w:r>
      <w:r>
        <w:rPr>
          <w:rFonts w:ascii="Arial;sans-serif" w:hAnsi="Arial;sans-serif"/>
          <w:b w:val="false"/>
          <w:color w:val="000000"/>
          <w:sz w:val="22"/>
        </w:rPr>
        <w:t>If a court of competent jurisdiction holds that any provision or sub-</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part thereof contained in this Agreement is invalid, illegal, or unenforceable, that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invalidity, illegality, or unenforceability shall not affect any other provision in this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Agreement. Additionally, if any of the provisions of this Agreement are held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unenforceable by a court of competent jurisdiction, then the Parties desire that such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provision, clause, or phrase be “blue- penciled” or rewritten by the court to the extent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necessary to render it enforceable.</w:t>
      </w:r>
    </w:p>
    <w:p>
      <w:pPr>
        <w:pStyle w:val="TextBody"/>
        <w:bidi w:val="0"/>
        <w:spacing w:before="0" w:after="0"/>
        <w:ind w:left="0" w:right="0" w:firstLine="720"/>
        <w:jc w:val="both"/>
        <w:rPr/>
      </w:pPr>
      <w:r>
        <w:rPr/>
      </w:r>
    </w:p>
    <w:p>
      <w:pPr>
        <w:pStyle w:val="TextBody"/>
        <w:bidi w:val="0"/>
        <w:spacing w:lineRule="auto" w:line="288" w:before="0" w:after="0"/>
        <w:jc w:val="left"/>
        <w:rPr/>
      </w:pPr>
      <w:r>
        <w:rPr>
          <w:color w:val="000000"/>
        </w:rPr>
        <w:t>    </w:t>
      </w:r>
      <w:r>
        <w:rPr>
          <w:rFonts w:ascii="Arial;sans-serif" w:hAnsi="Arial;sans-serif"/>
          <w:b/>
          <w:color w:val="000000"/>
          <w:sz w:val="22"/>
        </w:rPr>
        <w:t xml:space="preserve">10. </w:t>
      </w:r>
      <w:r>
        <w:rPr>
          <w:rFonts w:ascii="Arial;sans-serif" w:hAnsi="Arial;sans-serif"/>
          <w:b/>
          <w:color w:val="000000"/>
          <w:sz w:val="22"/>
          <w:u w:val="single"/>
        </w:rPr>
        <w:t>THIRD-PARTY BENEFICIARIES; SUCCESSORS AND ASSIGNS.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    The Parties agree that members of the Company Group are intended third-party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beneficiaries of this Agreement with rights to enforce the terms of this Agreement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to the maximum extent allowed by law.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     The Parties agree that this Agreement is binding upon and shall inure to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benefit of the Company, its successors and assigns. The Company shall be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entitled to freely assign, in whole or in part, this Agreement and/or any right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hereunder to any member of the Company Group, or to any successor of all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substantially all of the business or assets of the Company or any member of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Company Group (and any such assignee shall be entitled to freely further so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assign, in one or multiple instances). The assignee shall assume the Company’s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obligations attendant to the rights being assigned. In the event this Agreement is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assigned to any member of the Company Group, or in the event a successor-in-</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interest to either the Company or any member of the Company Group becomes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Employee’s employer under this Agreement, then the following shall apply from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and after the effective date of the assignment or transfer of rights to the </w:t>
      </w:r>
    </w:p>
    <w:p>
      <w:pPr>
        <w:pStyle w:val="TextBody"/>
        <w:bidi w:val="0"/>
        <w:spacing w:lineRule="auto" w:line="288"/>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successor-in-interest, as the case may be: all references in this Agreement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Company shall be deemed to mean the assignee or successor-in-interest, as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case may be, without any need for an amendment to accomplish such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substitution. </w:t>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(c)     Employee irrevocably consents to any such assignment and the substitution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assignee for the Company as to rights that are assigned, and Employee also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irrevocably consents to the discharge of the Company as to any obligations or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liabilities under or by reason of this Agreement arising on or after the date of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assignment. In the event of any assignment from the Company to a member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Company Group, the Company shall be an intended third-party beneficiary of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this Agreement with rights to enforce the terms of this Agreement to the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maximum extent allowed by law. </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Arial;sans-serif" w:hAnsi="Arial;sans-serif"/>
          <w:b/>
          <w:color w:val="000000"/>
          <w:sz w:val="22"/>
        </w:rPr>
        <w:t xml:space="preserve">11. </w:t>
      </w:r>
      <w:r>
        <w:rPr>
          <w:rFonts w:ascii="Arial;sans-serif" w:hAnsi="Arial;sans-serif"/>
          <w:b/>
          <w:color w:val="000000"/>
          <w:sz w:val="22"/>
          <w:u w:val="single"/>
        </w:rPr>
        <w:t>PARTIES BOUND.</w:t>
      </w:r>
      <w:r>
        <w:rPr>
          <w:color w:val="000000"/>
        </w:rPr>
        <w:t xml:space="preserve"> </w:t>
      </w:r>
      <w:r>
        <w:rPr>
          <w:rFonts w:ascii="Arial;sans-serif" w:hAnsi="Arial;sans-serif"/>
          <w:b w:val="false"/>
          <w:color w:val="000000"/>
          <w:sz w:val="22"/>
        </w:rPr>
        <w:t xml:space="preserve">The terms, provisions, covenants and agreements contained in </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this Agreement shall apply to, be binding upon and inure to the benefit of the Company’s successors and assigns, and Employee’s heirs, executors, administrators, and other legal representatives. Employee may not assign this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Arial;sans-serif" w:hAnsi="Arial;sans-serif"/>
          <w:b/>
          <w:color w:val="000000"/>
          <w:sz w:val="22"/>
        </w:rPr>
        <w:t xml:space="preserve">12. </w:t>
      </w:r>
      <w:r>
        <w:rPr>
          <w:rFonts w:ascii="Arial;sans-serif" w:hAnsi="Arial;sans-serif"/>
          <w:b/>
          <w:color w:val="000000"/>
          <w:sz w:val="22"/>
          <w:u w:val="single"/>
        </w:rPr>
        <w:t>GOVERNING LAW.</w:t>
      </w:r>
      <w:r>
        <w:rPr>
          <w:color w:val="000000"/>
        </w:rPr>
        <w:t xml:space="preserve"> </w:t>
      </w:r>
      <w:r>
        <w:rPr>
          <w:rFonts w:ascii="Arial;sans-serif" w:hAnsi="Arial;sans-serif"/>
          <w:b w:val="false"/>
          <w:color w:val="000000"/>
          <w:sz w:val="22"/>
        </w:rPr>
        <w:t xml:space="preserve">This Agreement and the employment relationship created by it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shall be interpreted and construed in accordance with the laws of the State of North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Carolina, including its statutes of limitations, without giving effect to any conflict-of-laws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rule that would result in the application of the laws of a different jurisdiction. The Parties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consent to sole and exclusive jurisdiction in Wake County, North Carolina for the purpose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of any litigation relating to this Agreement and agree that any litigation by or involving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them relating to this Agreement shall be conducted in the state courts of North Carolina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or the appropriate federal district court located in Wake County, North Carolina.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Employee consents to the exercise of personal jurisdiction in any state or federal court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located in Wake County, North Carolina and waives any objection based upon personal </w:t>
      </w:r>
    </w:p>
    <w:p>
      <w:pPr>
        <w:pStyle w:val="TextBody"/>
        <w:bidi w:val="0"/>
        <w:spacing w:lineRule="auto" w:line="288" w:before="0" w:after="0"/>
        <w:ind w:left="0" w:right="0" w:firstLine="720"/>
        <w:jc w:val="both"/>
        <w:rPr/>
      </w:pPr>
      <w:r>
        <w:rPr>
          <w:rFonts w:ascii="Arial;sans-serif" w:hAnsi="Arial;sans-serif"/>
          <w:b w:val="false"/>
          <w:color w:val="000000"/>
          <w:sz w:val="22"/>
        </w:rPr>
        <w:t xml:space="preserve">jurisdiction or </w:t>
      </w:r>
      <w:r>
        <w:rPr>
          <w:rFonts w:ascii="Arial;sans-serif" w:hAnsi="Arial;sans-serif"/>
          <w:b w:val="false"/>
          <w:i/>
          <w:color w:val="000000"/>
          <w:sz w:val="22"/>
        </w:rPr>
        <w:t xml:space="preserve">forum non conveniens </w:t>
      </w:r>
      <w:r>
        <w:rPr>
          <w:rFonts w:ascii="Arial;sans-serif" w:hAnsi="Arial;sans-serif"/>
          <w:b w:val="false"/>
          <w:color w:val="000000"/>
          <w:sz w:val="22"/>
        </w:rPr>
        <w:t xml:space="preserve">with respect to any action commenced in such </w:t>
      </w:r>
    </w:p>
    <w:p>
      <w:pPr>
        <w:pStyle w:val="TextBody"/>
        <w:bidi w:val="0"/>
        <w:spacing w:lineRule="auto" w:line="28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courts.</w:t>
      </w:r>
    </w:p>
    <w:p>
      <w:pPr>
        <w:pStyle w:val="TextBody"/>
        <w:bidi w:val="0"/>
        <w:spacing w:before="0" w:after="0"/>
        <w:ind w:left="0" w:right="0" w:firstLine="720"/>
        <w:jc w:val="both"/>
        <w:rPr/>
      </w:pPr>
      <w:r>
        <w:rPr/>
      </w:r>
    </w:p>
    <w:p>
      <w:pPr>
        <w:pStyle w:val="TextBody"/>
        <w:bidi w:val="0"/>
        <w:spacing w:lineRule="auto" w:line="288" w:before="0" w:after="0"/>
        <w:jc w:val="left"/>
        <w:rPr/>
      </w:pPr>
      <w:r>
        <w:rPr>
          <w:color w:val="000000"/>
        </w:rPr>
        <w:t>    </w:t>
      </w:r>
      <w:r>
        <w:rPr>
          <w:rFonts w:ascii="Arial;sans-serif" w:hAnsi="Arial;sans-serif"/>
          <w:b/>
          <w:color w:val="000000"/>
          <w:sz w:val="22"/>
        </w:rPr>
        <w:t>13.</w:t>
      </w:r>
      <w:r>
        <w:rPr>
          <w:color w:val="000000"/>
        </w:rPr>
        <w:t xml:space="preserve"> </w:t>
      </w:r>
      <w:r>
        <w:rPr>
          <w:rFonts w:ascii="Arial;sans-serif" w:hAnsi="Arial;sans-serif"/>
          <w:b/>
          <w:color w:val="000000"/>
          <w:sz w:val="22"/>
          <w:u w:val="single"/>
        </w:rPr>
        <w:t>COUNTERPARTS.</w:t>
      </w:r>
      <w:r>
        <w:rPr>
          <w:color w:val="000000"/>
        </w:rPr>
        <w:t xml:space="preserve"> </w:t>
      </w:r>
      <w:r>
        <w:rPr>
          <w:rFonts w:ascii="Arial;sans-serif" w:hAnsi="Arial;sans-serif"/>
          <w:b w:val="false"/>
          <w:color w:val="000000"/>
          <w:sz w:val="22"/>
        </w:rPr>
        <w:t xml:space="preserve">This Agreement may be executed in counterparts, each of which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shall be an original, with the same effect as if the signatures affixed thereto were upon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the same instrument. Any such counterpart, to the extent delivered by .pdf or similar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attachment to electronic mail shall be treated in all manner and respects as an original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executed counterpart and shall be considered to have the same binding legal effect as if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it were the original signed version thereof delivered in person.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2"/>
        </w:rPr>
        <w:t xml:space="preserve">14. </w:t>
      </w:r>
      <w:r>
        <w:rPr>
          <w:rFonts w:ascii="Arial;sans-serif" w:hAnsi="Arial;sans-serif"/>
          <w:b/>
          <w:color w:val="000000"/>
          <w:sz w:val="22"/>
          <w:u w:val="single"/>
        </w:rPr>
        <w:t>EMPLOYEE 14. ACKNOWLEDGMENT.</w:t>
      </w:r>
      <w:r>
        <w:rPr>
          <w:color w:val="000000"/>
        </w:rPr>
        <w:t xml:space="preserve"> </w:t>
      </w:r>
      <w:r>
        <w:rPr>
          <w:rFonts w:ascii="Arial;sans-serif" w:hAnsi="Arial;sans-serif"/>
          <w:b w:val="false"/>
          <w:color w:val="000000"/>
          <w:sz w:val="22"/>
        </w:rPr>
        <w:t xml:space="preserve">Employee understands and agrees that this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Agreement is not a contract of employment for any particular term and that employment </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by the Company is, for all purposes, “at will.”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center"/>
        <w:rPr/>
      </w:pPr>
      <w:r>
        <w:rPr>
          <w:rFonts w:ascii="Arial;sans-serif" w:hAnsi="Arial;sans-serif"/>
          <w:b/>
          <w:color w:val="000000"/>
          <w:sz w:val="22"/>
        </w:rPr>
        <w:t>[SIGNATURES ON FOLLOWING PAGE]</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color w:val="000000"/>
          <w:sz w:val="22"/>
        </w:rPr>
        <w:t>IN WITNESS WHEREOF</w:t>
      </w:r>
      <w:r>
        <w:rPr>
          <w:rFonts w:ascii="Arial;sans-serif" w:hAnsi="Arial;sans-serif"/>
          <w:b w:val="false"/>
          <w:color w:val="000000"/>
          <w:sz w:val="22"/>
        </w:rPr>
        <w:t>, the Parties have entered into this Non-Competition and Non-Solicitation Agreement knowingly and voluntarily as of the day and year first written above.</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color w:val="000000"/>
          <w:sz w:val="22"/>
        </w:rPr>
        <w:t>EMPLOYEE:</w:t>
      </w:r>
      <w:r>
        <w:rPr>
          <w:color w:val="000000"/>
        </w:rPr>
        <w:t xml:space="preserve"> </w:t>
      </w:r>
    </w:p>
    <w:p>
      <w:pPr>
        <w:pStyle w:val="TextBody"/>
        <w:bidi w:val="0"/>
        <w:spacing w:lineRule="auto" w:line="276" w:before="0" w:after="0"/>
        <w:ind w:left="0" w:right="0" w:firstLine="720"/>
        <w:jc w:val="left"/>
        <w:rPr/>
      </w:pPr>
      <w:r>
        <w:rPr>
          <w:rFonts w:ascii="Arial;sans-serif" w:hAnsi="Arial;sans-serif"/>
          <w:b/>
          <w:color w:val="000000"/>
          <w:sz w:val="22"/>
        </w:rPr>
        <w:t>Babar Ghias</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 xml:space="preserve">/s/ Babar Ghias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09 June 2025</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color w:val="000000"/>
          <w:sz w:val="22"/>
        </w:rPr>
        <w:t>EMPLOYER:</w:t>
      </w:r>
      <w:r>
        <w:rPr>
          <w:color w:val="000000"/>
        </w:rPr>
        <w:t xml:space="preserve"> </w:t>
      </w:r>
    </w:p>
    <w:p>
      <w:pPr>
        <w:pStyle w:val="TextBody"/>
        <w:bidi w:val="0"/>
        <w:spacing w:lineRule="auto" w:line="276" w:before="0" w:after="0"/>
        <w:ind w:left="0" w:right="0" w:firstLine="720"/>
        <w:jc w:val="left"/>
        <w:rPr/>
      </w:pPr>
      <w:r>
        <w:rPr>
          <w:rFonts w:ascii="Arial;sans-serif" w:hAnsi="Arial;sans-serif"/>
          <w:b/>
          <w:color w:val="000000"/>
          <w:sz w:val="22"/>
        </w:rPr>
        <w:t>BIOCRYST PHARMACEUTICALS, INC.</w:t>
      </w:r>
      <w:r>
        <w:rPr>
          <w:color w:val="000000"/>
        </w:rPr>
        <w:t xml:space="preserve">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2"/>
        </w:rPr>
        <w:t xml:space="preserve">Signature: </w:t>
      </w:r>
      <w:r>
        <w:rPr>
          <w:rFonts w:ascii="Arial;sans-serif" w:hAnsi="Arial;sans-serif"/>
          <w:b w:val="false"/>
          <w:color w:val="000000"/>
          <w:sz w:val="22"/>
          <w:u w:val="single"/>
        </w:rPr>
        <w:t xml:space="preserve">/s/ Jon Stonehouse </w:t>
      </w:r>
    </w:p>
    <w:p>
      <w:pPr>
        <w:pStyle w:val="TextBody"/>
        <w:bidi w:val="0"/>
        <w:spacing w:lineRule="auto" w:line="276" w:before="0" w:after="0"/>
        <w:jc w:val="left"/>
        <w:rPr>
          <w:rFonts w:ascii="Arial;sans-serif" w:hAnsi="Arial;sans-serif"/>
          <w:b w:val="false"/>
          <w:color w:val="000000"/>
          <w:sz w:val="22"/>
        </w:rPr>
      </w:pPr>
      <w:r>
        <w:rPr>
          <w:rFonts w:ascii="Arial;sans-serif" w:hAnsi="Arial;sans-serif"/>
          <w:b w:val="false"/>
          <w:color w:val="000000"/>
          <w:sz w:val="22"/>
        </w:rPr>
        <w:t xml:space="preserve">Name: Jon Stonehouse </w:t>
      </w:r>
    </w:p>
    <w:p>
      <w:pPr>
        <w:pStyle w:val="TextBody"/>
        <w:bidi w:val="0"/>
        <w:spacing w:lineRule="auto" w:line="276"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Title: Chief Executive Officer </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76"/>
        <w:ind w:left="0" w:right="0" w:firstLine="720"/>
        <w:jc w:val="left"/>
        <w:rPr/>
      </w:pPr>
      <w:r>
        <w:rPr>
          <w:rFonts w:ascii="Arial;sans-serif" w:hAnsi="Arial;sans-serif"/>
          <w:b w:val="false"/>
          <w:color w:val="000000"/>
          <w:sz w:val="22"/>
        </w:rPr>
        <w:t xml:space="preserve">Date: </w:t>
      </w:r>
      <w:r>
        <w:rPr>
          <w:rFonts w:ascii="Arial;sans-serif" w:hAnsi="Arial;sans-serif"/>
          <w:b w:val="false"/>
          <w:color w:val="000000"/>
          <w:sz w:val="22"/>
          <w:u w:val="single"/>
        </w:rPr>
        <w:t>09 June 2025</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SECOND AMENDMENT TO EMPLOYMENT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Second Amendment to Employment Agreement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dated August 1,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is entered into by and between BioCryst Pharmaceuticals,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Mr. Charles Gayer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RECITALS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and Employee are parties to that Employment Agreement, dated as of January 14, 2020, as amended by the First Amendment dated as of September 24, 2021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and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parties wish to amend the terms of the Employment Agreement, as set forth herein, effective as of the date 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covenants contained herein and other good and valuable consideration, the receipt and sufficiency of which are hereby acknowledged, the parties agree as follows:</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Title</w:t>
      </w:r>
      <w:r>
        <w:rPr>
          <w:rFonts w:ascii="Times New Roman;serif" w:hAnsi="Times New Roman;serif"/>
          <w:b w:val="false"/>
          <w:color w:val="000000"/>
          <w:sz w:val="24"/>
        </w:rPr>
        <w:t>. Effective as of August 1, 2025, the Company shall employ Employee as President and Chief Commercial Officer.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Section 2(a)</w:t>
      </w:r>
      <w:r>
        <w:rPr>
          <w:rFonts w:ascii="Times New Roman;serif" w:hAnsi="Times New Roman;serif"/>
          <w:b w:val="false"/>
          <w:color w:val="000000"/>
          <w:sz w:val="24"/>
        </w:rPr>
        <w:t>. The first sentence of Section 2(a) is hereby amended and restated in its entirety as follows:</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4"/>
        </w:rPr>
        <w:t xml:space="preserve">Commencing as of August 1, 2025, as basic compensation for services rendered under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Agreement, Employee shall be entitled to receive from the Company a salary of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$675,000 per annum (the “Base Salary”), payable in accordance with the Company’s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standard payroll practices as in effect from time to time during the term of this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Target Incentive Compensation</w:t>
      </w:r>
      <w:r>
        <w:rPr>
          <w:rFonts w:ascii="Times New Roman;serif" w:hAnsi="Times New Roman;serif"/>
          <w:b w:val="false"/>
          <w:color w:val="000000"/>
          <w:sz w:val="24"/>
        </w:rPr>
        <w:t xml:space="preserve">. For Employee’s Incentive Compensation for the 2025 fiscal year, the “Target Amount” shall be equal to (i) seventy percent (70%) of the Base Salary earned by Employee during the portion of the 2025 fiscal preceding August 1, 2025 and (ii) seventy-five percent (75%) of the Base Salary earned by Employee during the remainder of the 2025 fiscal year beginning August 1, 2025.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Section 3(b)</w:t>
      </w:r>
      <w:r>
        <w:rPr>
          <w:rFonts w:ascii="Times New Roman;serif" w:hAnsi="Times New Roman;serif"/>
          <w:b w:val="false"/>
          <w:color w:val="000000"/>
          <w:sz w:val="24"/>
        </w:rPr>
        <w:t>. A new Section 3(b) is added as follows.</w:t>
      </w:r>
    </w:p>
    <w:p>
      <w:pPr>
        <w:pStyle w:val="TextBody"/>
        <w:bidi w:val="0"/>
        <w:spacing w:before="0" w:after="0"/>
        <w:jc w:val="both"/>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4"/>
        </w:rPr>
        <w:t xml:space="preserve">(b) For the 2025 fiscal year, Employee’s annual equity-based awards shall be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determined by the Board or a committee thereof at levels commensurate with the role of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President and Chief Executive Officer.”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Continuation of Employment Agreement</w:t>
      </w:r>
      <w:r>
        <w:rPr>
          <w:rFonts w:ascii="Times New Roman;serif" w:hAnsi="Times New Roman;serif"/>
          <w:b w:val="false"/>
          <w:color w:val="000000"/>
          <w:sz w:val="24"/>
        </w:rPr>
        <w:t>. Except as otherwise expressly provided herein, all of the terms and provisions of the Employment Agreement shall remain in full force and effect and this Amendment shall not amend or modify any other rights, powers, duties, or obligations of any party to the Employment Agreement.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Complete Agreement</w:t>
      </w:r>
      <w:r>
        <w:rPr>
          <w:rFonts w:ascii="Times New Roman;serif" w:hAnsi="Times New Roman;serif"/>
          <w:b w:val="false"/>
          <w:color w:val="000000"/>
          <w:sz w:val="24"/>
        </w:rPr>
        <w:t>. This Amendment and the Employment Agreement contain the entire agreement between the parties hereto with respect to the matters contained herein and supersedes and replaces any prior agreement between the parties with respect to the matters set forth in this Amendment.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Amendment may be executed in any number of counterparts and any such counterparts may be transmitted by electronic transmission, and each of such counterparts, whether an original or an electronic or “.pdf” of an original, shall be deemed to be an original and all of such counterparts together shall constitute a single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executed this Amendment, on the date first set forth above.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6869" w:type="dxa"/>
        <w:jc w:val="left"/>
        <w:tblInd w:w="0" w:type="dxa"/>
        <w:tblLayout w:type="fixed"/>
        <w:tblCellMar>
          <w:top w:w="28" w:type="dxa"/>
          <w:left w:w="28" w:type="dxa"/>
          <w:bottom w:w="28" w:type="dxa"/>
          <w:right w:w="28" w:type="dxa"/>
        </w:tblCellMar>
      </w:tblPr>
      <w:tblGrid>
        <w:gridCol w:w="804"/>
        <w:gridCol w:w="707"/>
        <w:gridCol w:w="709"/>
        <w:gridCol w:w="1361"/>
        <w:gridCol w:w="1361"/>
        <w:gridCol w:w="1927"/>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EMPLOYEE</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Charles Gayer</w:t>
            </w:r>
          </w:p>
        </w:tc>
        <w:tc>
          <w:tcPr>
            <w:tcW w:w="464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0000"/>
                <w:sz w:val="24"/>
              </w:rPr>
            </w:pPr>
            <w:r>
              <w:rPr>
                <w:rFonts w:ascii="Times New Roman;serif" w:hAnsi="Times New Roman;serif"/>
                <w:b/>
                <w:color w:val="000000"/>
                <w:sz w:val="24"/>
              </w:rPr>
              <w:t>BIOCRYST PHARMACEUTICALS, INC.</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By:</w:t>
            </w:r>
          </w:p>
          <w:p>
            <w:pPr>
              <w:pStyle w:val="TableContents"/>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Jon Stonehouse</w:t>
            </w:r>
          </w:p>
          <w:p>
            <w:pPr>
              <w:pStyle w:val="TableContents"/>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Charles Gayer </w:t>
            </w:r>
          </w:p>
        </w:tc>
        <w:tc>
          <w:tcPr>
            <w:tcW w:w="4649"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Jon Stonehouse </w:t>
            </w:r>
          </w:p>
        </w:tc>
      </w:tr>
      <w:tr>
        <w:trPr/>
        <w:tc>
          <w:tcPr>
            <w:tcW w:w="2220"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           </w:t>
            </w:r>
            <w:r>
              <w:rPr>
                <w:rFonts w:ascii="Times New Roman;serif" w:hAnsi="Times New Roman;serif"/>
                <w:b w:val="false"/>
                <w:color w:val="000000"/>
                <w:sz w:val="24"/>
              </w:rPr>
              <w:t>Charles Gayer</w:t>
            </w:r>
          </w:p>
        </w:tc>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           </w:t>
            </w:r>
            <w:r>
              <w:rPr>
                <w:rFonts w:ascii="Times New Roman;serif" w:hAnsi="Times New Roman;serif"/>
                <w:b w:val="false"/>
                <w:color w:val="000000"/>
                <w:sz w:val="24"/>
              </w:rPr>
              <w:t>Jon Stonehouse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9"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           </w:t>
            </w:r>
            <w:r>
              <w:rPr>
                <w:rFonts w:ascii="Times New Roman;serif" w:hAnsi="Times New Roman;serif"/>
                <w:b w:val="false"/>
                <w:color w:val="000000"/>
                <w:sz w:val="24"/>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Jon P. Stonehouse,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350"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265"/>
        <w:gridCol w:w="265"/>
        <w:gridCol w:w="265"/>
        <w:gridCol w:w="265"/>
        <w:gridCol w:w="265"/>
        <w:gridCol w:w="265"/>
        <w:gridCol w:w="265"/>
        <w:gridCol w:w="265"/>
        <w:gridCol w:w="385"/>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250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Jon P. Stonehouse</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Jon P. Stonehouse</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Babar Ghias,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BioCryst Pharmaceuticals,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148" w:type="dxa"/>
        <w:jc w:val="left"/>
        <w:tblInd w:w="0" w:type="dxa"/>
        <w:tblLayout w:type="fixed"/>
        <w:tblCellMar>
          <w:top w:w="28" w:type="dxa"/>
          <w:left w:w="28" w:type="dxa"/>
          <w:bottom w:w="28" w:type="dxa"/>
          <w:right w:w="28" w:type="dxa"/>
        </w:tblCellMar>
      </w:tblPr>
      <w:tblGrid>
        <w:gridCol w:w="229"/>
        <w:gridCol w:w="202"/>
        <w:gridCol w:w="202"/>
        <w:gridCol w:w="202"/>
        <w:gridCol w:w="202"/>
        <w:gridCol w:w="202"/>
        <w:gridCol w:w="202"/>
        <w:gridCol w:w="202"/>
        <w:gridCol w:w="202"/>
        <w:gridCol w:w="563"/>
        <w:gridCol w:w="563"/>
        <w:gridCol w:w="563"/>
        <w:gridCol w:w="563"/>
        <w:gridCol w:w="563"/>
        <w:gridCol w:w="563"/>
        <w:gridCol w:w="563"/>
        <w:gridCol w:w="563"/>
        <w:gridCol w:w="799"/>
      </w:tblGrid>
      <w:tr>
        <w:trPr/>
        <w:tc>
          <w:tcPr>
            <w:tcW w:w="2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530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Babar Ghias</w:t>
            </w:r>
          </w:p>
        </w:tc>
      </w:tr>
      <w:tr>
        <w:trPr/>
        <w:tc>
          <w:tcPr>
            <w:tcW w:w="18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June 30, 2025,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3825" w:type="dxa"/>
        <w:jc w:val="left"/>
        <w:tblInd w:w="0" w:type="dxa"/>
        <w:tblLayout w:type="fixed"/>
        <w:tblCellMar>
          <w:top w:w="28" w:type="dxa"/>
          <w:left w:w="28" w:type="dxa"/>
          <w:bottom w:w="28" w:type="dxa"/>
          <w:right w:w="28" w:type="dxa"/>
        </w:tblCellMar>
      </w:tblPr>
      <w:tblGrid>
        <w:gridCol w:w="306"/>
        <w:gridCol w:w="269"/>
        <w:gridCol w:w="269"/>
        <w:gridCol w:w="269"/>
        <w:gridCol w:w="269"/>
        <w:gridCol w:w="269"/>
        <w:gridCol w:w="269"/>
        <w:gridCol w:w="269"/>
        <w:gridCol w:w="283"/>
        <w:gridCol w:w="109"/>
        <w:gridCol w:w="109"/>
        <w:gridCol w:w="109"/>
        <w:gridCol w:w="109"/>
        <w:gridCol w:w="109"/>
        <w:gridCol w:w="109"/>
        <w:gridCol w:w="109"/>
        <w:gridCol w:w="109"/>
        <w:gridCol w:w="109"/>
        <w:gridCol w:w="109"/>
        <w:gridCol w:w="109"/>
        <w:gridCol w:w="154"/>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Jon P. Stonehouse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Jon P. Stonehouse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2"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BioCryst Pharmaceuticals, Inc. (the “Company”) on Form 10-Q for the period ended June 30, 2025, as filed with the Securities and Exchange Commission on the date hereof (the “Report”), I, Babar Ghias, Chief Financial Officer of the Company, certify, pursuant to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302" w:type="dxa"/>
        <w:jc w:val="left"/>
        <w:tblInd w:w="0" w:type="dxa"/>
        <w:tblLayout w:type="fixed"/>
        <w:tblCellMar>
          <w:top w:w="28" w:type="dxa"/>
          <w:left w:w="28" w:type="dxa"/>
          <w:bottom w:w="28" w:type="dxa"/>
          <w:right w:w="28" w:type="dxa"/>
        </w:tblCellMar>
      </w:tblPr>
      <w:tblGrid>
        <w:gridCol w:w="660"/>
        <w:gridCol w:w="577"/>
        <w:gridCol w:w="577"/>
        <w:gridCol w:w="577"/>
        <w:gridCol w:w="577"/>
        <w:gridCol w:w="577"/>
        <w:gridCol w:w="577"/>
        <w:gridCol w:w="577"/>
        <w:gridCol w:w="577"/>
        <w:gridCol w:w="109"/>
        <w:gridCol w:w="109"/>
        <w:gridCol w:w="109"/>
        <w:gridCol w:w="109"/>
        <w:gridCol w:w="109"/>
        <w:gridCol w:w="109"/>
        <w:gridCol w:w="109"/>
        <w:gridCol w:w="109"/>
        <w:gridCol w:w="154"/>
      </w:tblGrid>
      <w:tr>
        <w:trPr/>
        <w:tc>
          <w:tcPr>
            <w:tcW w:w="660"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0"/>
              <w:ind w:left="0" w:right="0" w:hanging="360"/>
              <w:jc w:val="left"/>
              <w:rPr/>
            </w:pPr>
            <w:r>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/s/ 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Babar Ghias</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6" w:type="dxa"/>
            <w:gridSpan w:val="9"/>
            <w:tcBorders/>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2025</w:t>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ptos">
    <w:altName w:val="san-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796/000114036125024089/ef20051351_ex2-1.htm" TargetMode="External"/><Relationship Id="rId3" Type="http://schemas.openxmlformats.org/officeDocument/2006/relationships/hyperlink" Target="https://www.sec.gov/Archives/edgar/data/882796/000103570406000836/d42297exv3w1.htm" TargetMode="External"/><Relationship Id="rId4" Type="http://schemas.openxmlformats.org/officeDocument/2006/relationships/hyperlink" Target="https://www.sec.gov/Archives/edgar/data/882796/000136231007001386/c70813exv3w1.htm" TargetMode="External"/><Relationship Id="rId5" Type="http://schemas.openxmlformats.org/officeDocument/2006/relationships/hyperlink" Target="https://www.sec.gov/Archives/edgar/data/882796/000119312514186707/d722313dex31.htm" TargetMode="External"/><Relationship Id="rId6" Type="http://schemas.openxmlformats.org/officeDocument/2006/relationships/hyperlink" Target="https://www.sec.gov/Archives/edgar/data/882796/000117184320003680/exh_31.htm" TargetMode="External"/><Relationship Id="rId7" Type="http://schemas.openxmlformats.org/officeDocument/2006/relationships/hyperlink" Target="http://www.sec.gov/Archives/edgar/data/882796/000117184320003680/exh_32.htm" TargetMode="External"/><Relationship Id="rId8" Type="http://schemas.openxmlformats.org/officeDocument/2006/relationships/hyperlink" Target="https://www.sec.gov/Archives/edgar/data/882796/000117184320003680/exh_32.htm" TargetMode="External"/><Relationship Id="rId9" Type="http://schemas.openxmlformats.org/officeDocument/2006/relationships/hyperlink" Target="https://www.sec.gov/Archives/edgar/data/882796/000117184324000297/exh_31.htm" TargetMode="External"/><Relationship Id="rId10" Type="http://schemas.openxmlformats.org/officeDocument/2006/relationships/hyperlink" Target="https://www.sec.gov/Archives/edgar/data/882796/000162828025022658/bcrx-20250331xex101.htm" TargetMode="External"/><Relationship Id="rId11" Type="http://schemas.openxmlformats.org/officeDocument/2006/relationships/hyperlink" Target="https://www.sec.gov/Archives/edgar/data/882796/000162828025022658/bcrx-20250331xex101.htm" TargetMode="External"/><Relationship Id="rId12" Type="http://schemas.openxmlformats.org/officeDocument/2006/relationships/hyperlink" Target="https://www.sec.gov/Archives/edgar/data/882796/000162828025022658/bcrx-20250331xex101.htm" TargetMode="External"/><Relationship Id="rId13" Type="http://schemas.openxmlformats.org/officeDocument/2006/relationships/hyperlink" Target="https://www.sec.gov/Archives/edgar/data/882796/000162828025022658/bcrx-20250331xex101.htm" TargetMode="External"/><Relationship Id="rId14" Type="http://schemas.openxmlformats.org/officeDocument/2006/relationships/hyperlink" Target="https://www.sec.gov/Archives/edgar/data/882796/000162828025022658/bcrx-20250331xex101.htm" TargetMode="External"/><Relationship Id="rId15" Type="http://schemas.openxmlformats.org/officeDocument/2006/relationships/hyperlink" Target="https://www.sec.gov/Archives/edgar/data/882796/000162828025022658/bcrx-20250331xex101.htm" TargetMode="External"/><Relationship Id="rId16" Type="http://schemas.openxmlformats.org/officeDocument/2006/relationships/hyperlink" Target="https://www.sec.gov/Archives/edgar/data/882796/000117184325003910/exh_101.htm" TargetMode="External"/><Relationship Id="rId17" Type="http://schemas.openxmlformats.org/officeDocument/2006/relationships/hyperlink" Target="https://www.sec.gov/Archives/edgar/data/882796/000117184325003910/exh_101.htm" TargetMode="External"/><Relationship Id="rId18" Type="http://schemas.openxmlformats.org/officeDocument/2006/relationships/hyperlink" Target="https://www.sec.gov/Archives/edgar/data/882796/000117184325003910/exh_101.htm" TargetMode="External"/><Relationship Id="rId19" Type="http://schemas.openxmlformats.org/officeDocument/2006/relationships/hyperlink" Target="https://www.sec.gov/Archives/edgar/data/882796/000117184325003910/exh_101.htm" TargetMode="External"/><Relationship Id="rId20" Type="http://schemas.openxmlformats.org/officeDocument/2006/relationships/hyperlink" Target="https://www.sec.gov/Archives/edgar/data/882796/000117184325003910/exh_101.htm" TargetMode="External"/><Relationship Id="rId21" Type="http://schemas.openxmlformats.org/officeDocument/2006/relationships/hyperlink" Target="https://www.sec.gov/Archives/edgar/data/882796/000117184325003910/exh_101.htm" TargetMode="External"/><Relationship Id="rId22" Type="http://schemas.openxmlformats.org/officeDocument/2006/relationships/hyperlink" Target="https://www.sec.gov/Archives/edgar/data/882796/000117184325003910/exh_101.htm" TargetMode="External"/><Relationship Id="rId23" Type="http://schemas.openxmlformats.org/officeDocument/2006/relationships/hyperlink" Target="https://www.sec.gov/Archives/edgar/data/882796/000117184325003910/exh_101.htm" TargetMode="External"/><Relationship Id="rId24" Type="http://schemas.openxmlformats.org/officeDocument/2006/relationships/hyperlink" Target="https://www.sec.gov/Archives/edgar/data/882796/000162828025022658/bcrx-20250331xex102.htm" TargetMode="External"/><Relationship Id="rId25" Type="http://schemas.openxmlformats.org/officeDocument/2006/relationships/hyperlink" Target="https://www.sec.gov/Archives/edgar/data/882796/000162828025022658/bcrx-20250331xex102.htm" TargetMode="External"/><Relationship Id="rId26" Type="http://schemas.openxmlformats.org/officeDocument/2006/relationships/hyperlink" Target="https://www.sec.gov/Archives/edgar/data/882796/000162828025022658/bcrx-20250331xex102.htm" TargetMode="External"/><Relationship Id="rId27" Type="http://schemas.openxmlformats.org/officeDocument/2006/relationships/hyperlink" Target="https://www.sec.gov/Archives/edgar/data/882796/000162828025022658/bcrx-20250331xex102.htm" TargetMode="External"/><Relationship Id="rId28" Type="http://schemas.openxmlformats.org/officeDocument/2006/relationships/hyperlink" Target="https://www.sec.gov/Archives/edgar/data/882796/000162828025022658/bcrx-20250331xex102.htm" TargetMode="External"/><Relationship Id="rId29" Type="http://schemas.openxmlformats.org/officeDocument/2006/relationships/hyperlink" Target="https://www.sec.gov/Archives/edgar/data/882796/000162828025022658/bcrx-20250331xex102.htm" TargetMode="External"/><Relationship Id="rId30" Type="http://schemas.openxmlformats.org/officeDocument/2006/relationships/hyperlink" Target="https://www.sec.gov/Archives/edgar/data/882796/000162828025022658/bcrx-20250331xex102.htm" TargetMode="External"/><Relationship Id="rId31" Type="http://schemas.openxmlformats.org/officeDocument/2006/relationships/hyperlink" Target="https://www.sec.gov/Archives/edgar/data/882796/000162828025022658/bcrx-20250331xex103.htm" TargetMode="External"/><Relationship Id="rId32" Type="http://schemas.openxmlformats.org/officeDocument/2006/relationships/hyperlink" Target="https://www.sec.gov/Archives/edgar/data/882796/000162828025022658/bcrx-20250331xex103.htm" TargetMode="External"/><Relationship Id="rId33" Type="http://schemas.openxmlformats.org/officeDocument/2006/relationships/hyperlink" Target="https://www.sec.gov/Archives/edgar/data/882796/000162828025022658/bcrx-20250331xex103.htm" TargetMode="External"/><Relationship Id="rId34" Type="http://schemas.openxmlformats.org/officeDocument/2006/relationships/hyperlink" Target="https://www.sec.gov/Archives/edgar/data/882796/000162828025022658/bcrx-20250331xex103.htm" TargetMode="External"/><Relationship Id="rId35" Type="http://schemas.openxmlformats.org/officeDocument/2006/relationships/hyperlink" Target="https://www.sec.gov/Archives/edgar/data/882796/000162828025022658/bcrx-20250331xex103.htm" TargetMode="External"/><Relationship Id="rId36" Type="http://schemas.openxmlformats.org/officeDocument/2006/relationships/hyperlink" Target="https://www.sec.gov/Archives/edgar/data/882796/000162828025022658/bcrx-20250331xex103.htm"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66507</Words>
  <Characters>372529</Characters>
  <CharactersWithSpaces>437323</CharactersWithSpaces>
  <Paragraphs>3230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