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f8ka_080326.htm"/>
      <w:bookmarkStart w:id="1" w:name="ksf8ka_080326"/>
      <w:bookmarkEnd w:id="0"/>
      <w:bookmarkEnd w:id="1"/>
      <w:r>
        <w:rPr/>
        <w:t> </w:t>
      </w:r>
    </w:p>
    <w:p>
      <w:pPr>
        <w:pStyle w:val="TextBody"/>
        <w:bidi w:val="0"/>
        <w:jc w:val="center"/>
        <w:rPr>
          <w:b/>
          <w:sz w:val="20"/>
        </w:rPr>
      </w:pPr>
      <w:r>
        <w:rPr>
          <w:b/>
          <w:sz w:val="20"/>
        </w:rPr>
        <w:t>UNITED STATES</w:t>
      </w:r>
    </w:p>
    <w:p>
      <w:pPr>
        <w:pStyle w:val="TextBody"/>
        <w:bidi w:val="0"/>
        <w:spacing w:before="0" w:after="0"/>
        <w:ind w:left="0" w:right="0" w:hanging="0"/>
        <w:jc w:val="center"/>
        <w:rPr>
          <w:b/>
          <w:sz w:val="20"/>
        </w:rPr>
      </w:pPr>
      <w:r>
        <w:rPr>
          <w:b/>
          <w:sz w:val="20"/>
        </w:rPr>
        <w:t>SECURITIES AND EXCHANGE COMMISSION</w:t>
      </w:r>
    </w:p>
    <w:p>
      <w:pPr>
        <w:pStyle w:val="TextBody"/>
        <w:bidi w:val="0"/>
        <w:spacing w:before="0" w:after="0"/>
        <w:ind w:left="0" w:right="0" w:hanging="0"/>
        <w:jc w:val="center"/>
        <w:rPr>
          <w:b/>
          <w:sz w:val="20"/>
        </w:rPr>
      </w:pPr>
      <w:r>
        <w:rPr>
          <w:b/>
          <w:sz w:val="20"/>
        </w:rPr>
        <w:t>Washington, D.C. 20549</w:t>
      </w:r>
    </w:p>
    <w:p>
      <w:pPr>
        <w:pStyle w:val="TextBody"/>
        <w:bidi w:val="0"/>
        <w:spacing w:before="0" w:after="0"/>
        <w:ind w:left="0" w:right="0" w:hanging="0"/>
        <w:jc w:val="center"/>
        <w:rPr/>
      </w:pPr>
      <w:r>
        <w:rPr/>
        <w:t> </w:t>
      </w:r>
    </w:p>
    <w:p>
      <w:pPr>
        <w:pStyle w:val="TextBody"/>
        <w:bidi w:val="0"/>
        <w:spacing w:before="0" w:after="0"/>
        <w:ind w:left="0" w:right="0" w:hanging="0"/>
        <w:jc w:val="center"/>
        <w:rPr>
          <w:sz w:val="28"/>
        </w:rPr>
      </w:pPr>
      <w:r>
        <w:rPr>
          <w:sz w:val="28"/>
        </w:rPr>
        <w:t xml:space="preserve">FORM </w:t>
      </w:r>
      <w:bookmarkStart w:id="2" w:name="xdx_90F_edei--DocumentType_c20260625__20"/>
      <w:bookmarkEnd w:id="2"/>
      <w:r>
        <w:rPr>
          <w:sz w:val="28"/>
        </w:rPr>
        <w:t>8-K/A</w:t>
      </w:r>
    </w:p>
    <w:p>
      <w:pPr>
        <w:pStyle w:val="TextBody"/>
        <w:bidi w:val="0"/>
        <w:spacing w:before="0" w:after="0"/>
        <w:ind w:left="0" w:right="0" w:hanging="0"/>
        <w:jc w:val="center"/>
        <w:rPr>
          <w:sz w:val="20"/>
        </w:rPr>
      </w:pPr>
      <w:r>
        <w:rPr>
          <w:sz w:val="20"/>
        </w:rPr>
        <w:t>(Amendment No. 1)</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CURRENT REPORT</w:t>
      </w:r>
    </w:p>
    <w:p>
      <w:pPr>
        <w:pStyle w:val="TextBody"/>
        <w:bidi w:val="0"/>
        <w:spacing w:before="0" w:after="0"/>
        <w:ind w:left="0" w:right="0" w:hanging="0"/>
        <w:jc w:val="center"/>
        <w:rPr>
          <w:b/>
          <w:sz w:val="20"/>
        </w:rPr>
      </w:pPr>
      <w:r>
        <w:rPr>
          <w:b/>
          <w:sz w:val="20"/>
        </w:rPr>
        <w:t>Pursuant to Section 13 OR 15(d) of the Securities Exchange Act of 1934</w:t>
      </w:r>
    </w:p>
    <w:p>
      <w:pPr>
        <w:pStyle w:val="TextBody"/>
        <w:bidi w:val="0"/>
        <w:spacing w:before="0" w:after="0"/>
        <w:ind w:left="0" w:right="0" w:hanging="0"/>
        <w:jc w:val="center"/>
        <w:rPr/>
      </w:pPr>
      <w:r>
        <w:rPr/>
        <w:t> </w:t>
      </w:r>
    </w:p>
    <w:p>
      <w:pPr>
        <w:pStyle w:val="TextBody"/>
        <w:bidi w:val="0"/>
        <w:spacing w:before="0" w:after="0"/>
        <w:ind w:left="0" w:right="0" w:hanging="0"/>
        <w:jc w:val="center"/>
        <w:rPr>
          <w:sz w:val="20"/>
        </w:rPr>
      </w:pPr>
      <w:r>
        <w:rPr>
          <w:sz w:val="20"/>
        </w:rPr>
        <w:t xml:space="preserve">Date of Report (Date of earliest event reported): </w:t>
      </w:r>
      <w:bookmarkStart w:id="3" w:name="xdx_90D_edei--DocumentPeriodEndDate_c202"/>
      <w:bookmarkEnd w:id="3"/>
      <w:r>
        <w:rPr>
          <w:sz w:val="20"/>
        </w:rPr>
        <w:t>June 25, 2026</w:t>
      </w:r>
    </w:p>
    <w:p>
      <w:pPr>
        <w:pStyle w:val="TextBody"/>
        <w:bidi w:val="0"/>
        <w:spacing w:before="0" w:after="0"/>
        <w:ind w:left="0" w:right="0" w:hanging="0"/>
        <w:jc w:val="left"/>
        <w:rPr/>
      </w:pPr>
      <w:r>
        <w:rPr/>
        <w:t> </w:t>
      </w:r>
    </w:p>
    <w:p>
      <w:pPr>
        <w:pStyle w:val="TextBody"/>
        <w:bidi w:val="0"/>
        <w:spacing w:before="0" w:after="0"/>
        <w:ind w:left="0" w:right="0" w:hanging="0"/>
        <w:jc w:val="center"/>
        <w:rPr>
          <w:b/>
          <w:sz w:val="36"/>
        </w:rPr>
      </w:pPr>
      <w:bookmarkStart w:id="4" w:name="xdx_907_edei--EntityRegistrantName_c2026"/>
      <w:bookmarkEnd w:id="4"/>
      <w:r>
        <w:rPr>
          <w:b/>
          <w:sz w:val="36"/>
        </w:rPr>
        <w:t>BioCryst Pharmaceuticals, Inc.</w:t>
      </w:r>
    </w:p>
    <w:p>
      <w:pPr>
        <w:pStyle w:val="TextBody"/>
        <w:bidi w:val="0"/>
        <w:spacing w:before="0" w:after="0"/>
        <w:ind w:left="0" w:right="0" w:hanging="0"/>
        <w:jc w:val="center"/>
        <w:rPr>
          <w:sz w:val="20"/>
        </w:rPr>
      </w:pPr>
      <w:r>
        <w:rPr>
          <w:sz w:val="20"/>
        </w:rPr>
        <w:t>(Exact name of registrant as specified in its charter)</w:t>
      </w:r>
    </w:p>
    <w:p>
      <w:pPr>
        <w:pStyle w:val="TextBody"/>
        <w:bidi w:val="0"/>
        <w:spacing w:before="0" w:after="0"/>
        <w:ind w:left="0" w:right="0" w:hanging="0"/>
        <w:jc w:val="center"/>
        <w:rPr/>
      </w:pPr>
      <w:r>
        <w:rPr/>
        <w:t> </w:t>
      </w:r>
    </w:p>
    <w:tbl>
      <w:tblPr>
        <w:tblW w:w="4845" w:type="dxa"/>
        <w:jc w:val="left"/>
        <w:tblInd w:w="0" w:type="dxa"/>
        <w:tblLayout w:type="fixed"/>
        <w:tblCellMar>
          <w:top w:w="0" w:type="dxa"/>
          <w:left w:w="0" w:type="dxa"/>
          <w:bottom w:w="0" w:type="dxa"/>
          <w:right w:w="0" w:type="dxa"/>
        </w:tblCellMar>
      </w:tblPr>
      <w:tblGrid>
        <w:gridCol w:w="2210"/>
        <w:gridCol w:w="1100"/>
        <w:gridCol w:w="1535"/>
      </w:tblGrid>
      <w:tr>
        <w:trPr/>
        <w:tc>
          <w:tcPr>
            <w:tcW w:w="2210" w:type="dxa"/>
            <w:tcBorders/>
            <w:vAlign w:val="center"/>
          </w:tcPr>
          <w:p>
            <w:pPr>
              <w:pStyle w:val="TableContents"/>
              <w:bidi w:val="0"/>
              <w:spacing w:before="0" w:after="283"/>
              <w:jc w:val="center"/>
              <w:rPr>
                <w:b/>
                <w:sz w:val="20"/>
              </w:rPr>
            </w:pPr>
            <w:bookmarkStart w:id="5" w:name="xdx_902_edei--EntityIncorporationStateCo"/>
            <w:bookmarkEnd w:id="5"/>
            <w:r>
              <w:rPr>
                <w:b/>
                <w:sz w:val="20"/>
              </w:rPr>
              <w:t>Delaware</w:t>
            </w:r>
          </w:p>
        </w:tc>
        <w:tc>
          <w:tcPr>
            <w:tcW w:w="1100" w:type="dxa"/>
            <w:tcBorders/>
            <w:vAlign w:val="center"/>
          </w:tcPr>
          <w:p>
            <w:pPr>
              <w:pStyle w:val="TableContents"/>
              <w:bidi w:val="0"/>
              <w:spacing w:before="0" w:after="283"/>
              <w:jc w:val="center"/>
              <w:rPr>
                <w:b/>
                <w:sz w:val="20"/>
              </w:rPr>
            </w:pPr>
            <w:bookmarkStart w:id="6" w:name="xdx_909_edei--EntityFileNumber_c20260625"/>
            <w:bookmarkEnd w:id="6"/>
            <w:r>
              <w:rPr>
                <w:b/>
                <w:sz w:val="20"/>
              </w:rPr>
              <w:t>000-23186</w:t>
            </w:r>
          </w:p>
        </w:tc>
        <w:tc>
          <w:tcPr>
            <w:tcW w:w="1535" w:type="dxa"/>
            <w:tcBorders/>
            <w:vAlign w:val="center"/>
          </w:tcPr>
          <w:p>
            <w:pPr>
              <w:pStyle w:val="TableContents"/>
              <w:bidi w:val="0"/>
              <w:spacing w:before="0" w:after="283"/>
              <w:jc w:val="center"/>
              <w:rPr>
                <w:b/>
                <w:sz w:val="20"/>
              </w:rPr>
            </w:pPr>
            <w:bookmarkStart w:id="7" w:name="xdx_90F_edei--EntityTaxIdentificationNum"/>
            <w:bookmarkEnd w:id="7"/>
            <w:r>
              <w:rPr>
                <w:b/>
                <w:sz w:val="20"/>
              </w:rPr>
              <w:t>62-1413174</w:t>
            </w:r>
          </w:p>
        </w:tc>
      </w:tr>
      <w:tr>
        <w:trPr/>
        <w:tc>
          <w:tcPr>
            <w:tcW w:w="2210" w:type="dxa"/>
            <w:tcBorders/>
            <w:vAlign w:val="center"/>
          </w:tcPr>
          <w:p>
            <w:pPr>
              <w:pStyle w:val="TableContents"/>
              <w:bidi w:val="0"/>
              <w:spacing w:before="0" w:after="283"/>
              <w:jc w:val="center"/>
              <w:rPr>
                <w:sz w:val="20"/>
              </w:rPr>
            </w:pPr>
            <w:r>
              <w:rPr>
                <w:sz w:val="20"/>
              </w:rPr>
              <w:t>(State or Other Jurisdiction</w:t>
            </w:r>
          </w:p>
        </w:tc>
        <w:tc>
          <w:tcPr>
            <w:tcW w:w="1100" w:type="dxa"/>
            <w:tcBorders/>
            <w:vAlign w:val="center"/>
          </w:tcPr>
          <w:p>
            <w:pPr>
              <w:pStyle w:val="TableContents"/>
              <w:bidi w:val="0"/>
              <w:spacing w:before="0" w:after="283"/>
              <w:jc w:val="center"/>
              <w:rPr>
                <w:sz w:val="20"/>
              </w:rPr>
            </w:pPr>
            <w:r>
              <w:rPr>
                <w:sz w:val="20"/>
              </w:rPr>
              <w:t>(Commission</w:t>
            </w:r>
          </w:p>
        </w:tc>
        <w:tc>
          <w:tcPr>
            <w:tcW w:w="1535" w:type="dxa"/>
            <w:tcBorders/>
            <w:vAlign w:val="center"/>
          </w:tcPr>
          <w:p>
            <w:pPr>
              <w:pStyle w:val="TableContents"/>
              <w:bidi w:val="0"/>
              <w:spacing w:before="0" w:after="283"/>
              <w:jc w:val="center"/>
              <w:rPr>
                <w:sz w:val="20"/>
              </w:rPr>
            </w:pPr>
            <w:r>
              <w:rPr>
                <w:sz w:val="20"/>
              </w:rPr>
              <w:t>(IRS Employer</w:t>
            </w:r>
          </w:p>
        </w:tc>
      </w:tr>
      <w:tr>
        <w:trPr/>
        <w:tc>
          <w:tcPr>
            <w:tcW w:w="2210" w:type="dxa"/>
            <w:tcBorders/>
            <w:vAlign w:val="center"/>
          </w:tcPr>
          <w:p>
            <w:pPr>
              <w:pStyle w:val="TableContents"/>
              <w:bidi w:val="0"/>
              <w:spacing w:before="0" w:after="283"/>
              <w:jc w:val="center"/>
              <w:rPr>
                <w:sz w:val="20"/>
              </w:rPr>
            </w:pPr>
            <w:r>
              <w:rPr>
                <w:sz w:val="20"/>
              </w:rPr>
              <w:t>of Incorporation)</w:t>
            </w:r>
          </w:p>
        </w:tc>
        <w:tc>
          <w:tcPr>
            <w:tcW w:w="1100" w:type="dxa"/>
            <w:tcBorders/>
            <w:vAlign w:val="center"/>
          </w:tcPr>
          <w:p>
            <w:pPr>
              <w:pStyle w:val="TableContents"/>
              <w:bidi w:val="0"/>
              <w:spacing w:before="0" w:after="283"/>
              <w:jc w:val="center"/>
              <w:rPr>
                <w:sz w:val="20"/>
              </w:rPr>
            </w:pPr>
            <w:r>
              <w:rPr>
                <w:sz w:val="20"/>
              </w:rPr>
              <w:t>File Number)</w:t>
            </w:r>
          </w:p>
        </w:tc>
        <w:tc>
          <w:tcPr>
            <w:tcW w:w="1535" w:type="dxa"/>
            <w:tcBorders/>
            <w:vAlign w:val="center"/>
          </w:tcPr>
          <w:p>
            <w:pPr>
              <w:pStyle w:val="TableContents"/>
              <w:bidi w:val="0"/>
              <w:spacing w:before="0" w:after="283"/>
              <w:jc w:val="center"/>
              <w:rPr>
                <w:sz w:val="20"/>
              </w:rPr>
            </w:pPr>
            <w:r>
              <w:rPr>
                <w:sz w:val="20"/>
              </w:rPr>
              <w:t>Identification No.)</w:t>
            </w:r>
          </w:p>
        </w:tc>
      </w:tr>
    </w:tbl>
    <w:p>
      <w:pPr>
        <w:pStyle w:val="TextBody"/>
        <w:bidi w:val="0"/>
        <w:spacing w:before="0" w:after="283"/>
        <w:jc w:val="left"/>
        <w:rPr/>
      </w:pPr>
      <w:r>
        <w:rPr/>
        <w:t> </w:t>
      </w:r>
    </w:p>
    <w:p>
      <w:pPr>
        <w:pStyle w:val="TextBody"/>
        <w:bidi w:val="0"/>
        <w:spacing w:before="0" w:after="0"/>
        <w:jc w:val="center"/>
        <w:rPr>
          <w:b/>
          <w:sz w:val="20"/>
        </w:rPr>
      </w:pPr>
      <w:bookmarkStart w:id="8" w:name="xdx_90E_edei--EntityAddressAddressLine1_"/>
      <w:bookmarkEnd w:id="8"/>
      <w:r>
        <w:rPr>
          <w:b/>
          <w:sz w:val="20"/>
        </w:rPr>
        <w:t xml:space="preserve">4505 Emperor Blvd., </w:t>
      </w:r>
      <w:bookmarkStart w:id="9" w:name="xdx_903_edei--EntityAddressAddressLine2_"/>
      <w:bookmarkEnd w:id="9"/>
      <w:r>
        <w:rPr>
          <w:b/>
          <w:sz w:val="20"/>
        </w:rPr>
        <w:t>Suite 200</w:t>
      </w:r>
    </w:p>
    <w:p>
      <w:pPr>
        <w:pStyle w:val="TextBody"/>
        <w:bidi w:val="0"/>
        <w:spacing w:before="0" w:after="0"/>
        <w:jc w:val="center"/>
        <w:rPr>
          <w:b/>
          <w:sz w:val="20"/>
        </w:rPr>
      </w:pPr>
      <w:bookmarkStart w:id="10" w:name="xdx_903_edei--EntityAddressCityOrTown_c2"/>
      <w:bookmarkEnd w:id="10"/>
      <w:r>
        <w:rPr>
          <w:b/>
          <w:sz w:val="20"/>
        </w:rPr>
        <w:t xml:space="preserve">Durham, </w:t>
      </w:r>
      <w:bookmarkStart w:id="11" w:name="xdx_907_edei--EntityAddressStateOrProvin"/>
      <w:bookmarkEnd w:id="11"/>
      <w:r>
        <w:rPr>
          <w:b/>
          <w:sz w:val="20"/>
        </w:rPr>
        <w:t xml:space="preserve">North Carolina </w:t>
      </w:r>
      <w:bookmarkStart w:id="12" w:name="xdx_904_edei--EntityAddressPostalZipCode"/>
      <w:bookmarkEnd w:id="12"/>
      <w:r>
        <w:rPr>
          <w:b/>
          <w:sz w:val="20"/>
        </w:rPr>
        <w:t>27703</w:t>
      </w:r>
    </w:p>
    <w:p>
      <w:pPr>
        <w:pStyle w:val="TextBody"/>
        <w:bidi w:val="0"/>
        <w:spacing w:before="0" w:after="0"/>
        <w:jc w:val="center"/>
        <w:rPr>
          <w:sz w:val="20"/>
        </w:rPr>
      </w:pPr>
      <w:r>
        <w:rPr>
          <w:sz w:val="20"/>
        </w:rPr>
        <w:t>(Address of Principal Executive Offices) (Zip Code)</w:t>
      </w:r>
    </w:p>
    <w:p>
      <w:pPr>
        <w:pStyle w:val="TextBody"/>
        <w:bidi w:val="0"/>
        <w:spacing w:before="0" w:after="0"/>
        <w:jc w:val="center"/>
        <w:rPr/>
      </w:pPr>
      <w:r>
        <w:rPr/>
        <w:t> </w:t>
      </w:r>
    </w:p>
    <w:p>
      <w:pPr>
        <w:pStyle w:val="TextBody"/>
        <w:bidi w:val="0"/>
        <w:spacing w:before="0" w:after="0"/>
        <w:jc w:val="center"/>
        <w:rPr>
          <w:b/>
          <w:sz w:val="20"/>
        </w:rPr>
      </w:pPr>
      <w:bookmarkStart w:id="13" w:name="xdx_903_edei--CityAreaCode_c20260625__20"/>
      <w:bookmarkEnd w:id="13"/>
      <w:r>
        <w:rPr>
          <w:b/>
          <w:sz w:val="20"/>
        </w:rPr>
        <w:t xml:space="preserve">(919) </w:t>
      </w:r>
      <w:bookmarkStart w:id="14" w:name="xdx_900_edei--LocalPhoneNumber_c20260625"/>
      <w:bookmarkEnd w:id="14"/>
      <w:r>
        <w:rPr>
          <w:b/>
          <w:sz w:val="20"/>
        </w:rPr>
        <w:t>859-1302</w:t>
      </w:r>
    </w:p>
    <w:p>
      <w:pPr>
        <w:pStyle w:val="TextBody"/>
        <w:bidi w:val="0"/>
        <w:spacing w:before="0" w:after="0"/>
        <w:jc w:val="center"/>
        <w:rPr>
          <w:sz w:val="20"/>
        </w:rPr>
      </w:pPr>
      <w:r>
        <w:rPr>
          <w:sz w:val="20"/>
        </w:rPr>
        <w:t>(Registrant’s telephone number, including area code)</w:t>
      </w:r>
    </w:p>
    <w:p>
      <w:pPr>
        <w:pStyle w:val="TextBody"/>
        <w:bidi w:val="0"/>
        <w:spacing w:before="0" w:after="0"/>
        <w:ind w:left="0" w:right="0" w:hanging="0"/>
        <w:jc w:val="left"/>
        <w:rPr/>
      </w:pPr>
      <w:r>
        <w:rPr/>
        <w:t> </w:t>
      </w:r>
    </w:p>
    <w:p>
      <w:pPr>
        <w:pStyle w:val="TextBody"/>
        <w:bidi w:val="0"/>
        <w:spacing w:before="0" w:after="0"/>
        <w:jc w:val="center"/>
        <w:rPr>
          <w:sz w:val="20"/>
        </w:rPr>
      </w:pPr>
      <w:r>
        <w:rPr>
          <w:sz w:val="20"/>
        </w:rPr>
        <w:t>________________________________________</w:t>
      </w:r>
    </w:p>
    <w:p>
      <w:pPr>
        <w:pStyle w:val="TextBody"/>
        <w:bidi w:val="0"/>
        <w:spacing w:before="0" w:after="0"/>
        <w:ind w:left="0" w:right="0" w:hanging="0"/>
        <w:jc w:val="center"/>
        <w:rPr>
          <w:sz w:val="20"/>
        </w:rPr>
      </w:pPr>
      <w:r>
        <w:rPr>
          <w:sz w:val="20"/>
        </w:rPr>
        <w:t>(Former name or former address, if changed since last report.)</w:t>
      </w:r>
    </w:p>
    <w:p>
      <w:pPr>
        <w:pStyle w:val="TextBody"/>
        <w:bidi w:val="0"/>
        <w:spacing w:before="0" w:after="0"/>
        <w:ind w:left="0" w:right="0" w:hanging="0"/>
        <w:jc w:val="center"/>
        <w:rPr/>
      </w:pPr>
      <w:r>
        <w:rPr/>
        <w:t> </w:t>
      </w:r>
    </w:p>
    <w:p>
      <w:pPr>
        <w:pStyle w:val="TextBody"/>
        <w:bidi w:val="0"/>
        <w:spacing w:before="0" w:after="0"/>
        <w:ind w:left="20" w:right="20" w:hanging="0"/>
        <w:jc w:val="left"/>
        <w:rPr>
          <w:sz w:val="20"/>
        </w:rPr>
      </w:pPr>
      <w:r>
        <w:rPr>
          <w:sz w:val="20"/>
        </w:rPr>
        <w:t>Check the appropriate box below if the Form 8-K filing is intended to simultaneously satisfy the filing obligation of the registrant under any of the following provisions:</w:t>
      </w:r>
    </w:p>
    <w:p>
      <w:pPr>
        <w:pStyle w:val="TextBody"/>
        <w:bidi w:val="0"/>
        <w:spacing w:before="0" w:after="0"/>
        <w:ind w:left="20" w:right="20" w:hanging="0"/>
        <w:jc w:val="left"/>
        <w:rPr/>
      </w:pPr>
      <w:r>
        <w:rPr/>
        <w:t> </w:t>
      </w:r>
    </w:p>
    <w:tbl>
      <w:tblPr>
        <w:tblW w:w="8793" w:type="dxa"/>
        <w:jc w:val="left"/>
        <w:tblInd w:w="0" w:type="dxa"/>
        <w:tblLayout w:type="fixed"/>
        <w:tblCellMar>
          <w:top w:w="0" w:type="dxa"/>
          <w:left w:w="0" w:type="dxa"/>
          <w:bottom w:w="0" w:type="dxa"/>
          <w:right w:w="0" w:type="dxa"/>
        </w:tblCellMar>
      </w:tblPr>
      <w:tblGrid>
        <w:gridCol w:w="38"/>
        <w:gridCol w:w="230"/>
        <w:gridCol w:w="85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5" w:name="xdx_900_edei--WrittenCommunications_c202"/>
            <w:bookmarkEnd w:id="15"/>
            <w:r>
              <w:rPr/>
              <w:t>☐</w:t>
            </w:r>
          </w:p>
        </w:tc>
        <w:tc>
          <w:tcPr>
            <w:tcW w:w="8525" w:type="dxa"/>
            <w:tcBorders/>
            <w:vAlign w:val="center"/>
          </w:tcPr>
          <w:p>
            <w:pPr>
              <w:pStyle w:val="TableContents"/>
              <w:bidi w:val="0"/>
              <w:spacing w:before="0" w:after="283"/>
              <w:jc w:val="left"/>
              <w:rPr/>
            </w:pPr>
            <w:r>
              <w:rPr/>
              <w:t>Written communications pursuant to Rule 425 under the Securities Act (17 CFR 230.425)</w:t>
            </w:r>
          </w:p>
        </w:tc>
      </w:tr>
    </w:tbl>
    <w:tbl>
      <w:tblPr>
        <w:tblW w:w="8823" w:type="dxa"/>
        <w:jc w:val="left"/>
        <w:tblInd w:w="0" w:type="dxa"/>
        <w:tblLayout w:type="fixed"/>
        <w:tblCellMar>
          <w:top w:w="0" w:type="dxa"/>
          <w:left w:w="0" w:type="dxa"/>
          <w:bottom w:w="0" w:type="dxa"/>
          <w:right w:w="0" w:type="dxa"/>
        </w:tblCellMar>
      </w:tblPr>
      <w:tblGrid>
        <w:gridCol w:w="38"/>
        <w:gridCol w:w="230"/>
        <w:gridCol w:w="85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6" w:name="xdx_901_edei--SolicitingMaterial_c202606"/>
            <w:bookmarkEnd w:id="16"/>
            <w:r>
              <w:rPr/>
              <w:t>☐</w:t>
            </w:r>
          </w:p>
        </w:tc>
        <w:tc>
          <w:tcPr>
            <w:tcW w:w="8555" w:type="dxa"/>
            <w:tcBorders/>
            <w:vAlign w:val="center"/>
          </w:tcPr>
          <w:p>
            <w:pPr>
              <w:pStyle w:val="TableContents"/>
              <w:bidi w:val="0"/>
              <w:spacing w:before="0" w:after="283"/>
              <w:jc w:val="left"/>
              <w:rPr/>
            </w:pPr>
            <w:r>
              <w:rPr/>
              <w:t>Soliciting material pursuant to Rule 14a-12 under the Exchange Act (17 CFR 240.14a-12)</w:t>
            </w:r>
          </w:p>
        </w:tc>
      </w:tr>
    </w:tbl>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7" w:name="xdx_90A_edei--PreCommencementTenderOffer"/>
            <w:bookmarkEnd w:id="17"/>
            <w:r>
              <w:rPr/>
              <w:t>☐</w:t>
            </w:r>
          </w:p>
        </w:tc>
        <w:tc>
          <w:tcPr>
            <w:tcW w:w="9937" w:type="dxa"/>
            <w:tcBorders/>
            <w:vAlign w:val="center"/>
          </w:tcPr>
          <w:p>
            <w:pPr>
              <w:pStyle w:val="TableContents"/>
              <w:bidi w:val="0"/>
              <w:spacing w:before="0" w:after="283"/>
              <w:jc w:val="left"/>
              <w:rPr/>
            </w:pPr>
            <w:r>
              <w:rPr/>
              <w:t>Pre-commencement communications pursuant to Rule 14d-2(b) under the Exchange Act (17 CFR 240.14d-2(b))</w:t>
            </w:r>
          </w:p>
        </w:tc>
      </w:tr>
    </w:tbl>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8" w:name="xdx_906_edei--PreCommencementIssuerTende"/>
            <w:bookmarkEnd w:id="18"/>
            <w:r>
              <w:rPr/>
              <w:t>☐</w:t>
            </w:r>
          </w:p>
        </w:tc>
        <w:tc>
          <w:tcPr>
            <w:tcW w:w="9937"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Securities registered pursuant to Section 12(b) of the Act:</w:t>
      </w:r>
    </w:p>
    <w:p>
      <w:pPr>
        <w:pStyle w:val="TextBody"/>
        <w:bidi w:val="0"/>
        <w:spacing w:before="0" w:after="0"/>
        <w:ind w:left="0" w:right="0" w:hanging="0"/>
        <w:jc w:val="left"/>
        <w:rPr/>
      </w:pPr>
      <w:r>
        <w:rPr/>
        <w:t> </w:t>
      </w:r>
    </w:p>
    <w:tbl>
      <w:tblPr>
        <w:tblW w:w="6615" w:type="dxa"/>
        <w:jc w:val="left"/>
        <w:tblInd w:w="-10" w:type="dxa"/>
        <w:tblLayout w:type="fixed"/>
        <w:tblCellMar>
          <w:top w:w="28" w:type="dxa"/>
          <w:left w:w="28" w:type="dxa"/>
          <w:bottom w:w="28" w:type="dxa"/>
          <w:right w:w="28" w:type="dxa"/>
        </w:tblCellMar>
      </w:tblPr>
      <w:tblGrid>
        <w:gridCol w:w="1490"/>
        <w:gridCol w:w="1535"/>
        <w:gridCol w:w="3590"/>
      </w:tblGrid>
      <w:tr>
        <w:trPr/>
        <w:tc>
          <w:tcPr>
            <w:tcW w:w="149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sz w:val="20"/>
              </w:rPr>
            </w:pPr>
            <w:r>
              <w:rPr>
                <w:sz w:val="20"/>
              </w:rPr>
              <w:t>Title of each class</w:t>
            </w:r>
          </w:p>
        </w:tc>
        <w:tc>
          <w:tcPr>
            <w:tcW w:w="153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Trading Symbol(s)</w:t>
            </w:r>
          </w:p>
        </w:tc>
        <w:tc>
          <w:tcPr>
            <w:tcW w:w="359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Name of each exchange on which registered</w:t>
            </w:r>
          </w:p>
        </w:tc>
      </w:tr>
      <w:tr>
        <w:trPr/>
        <w:tc>
          <w:tcPr>
            <w:tcW w:w="149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b/>
                <w:sz w:val="20"/>
              </w:rPr>
            </w:pPr>
            <w:bookmarkStart w:id="19" w:name="xdx_90A_edei--Security12bTitle_c20260625"/>
            <w:bookmarkEnd w:id="19"/>
            <w:r>
              <w:rPr>
                <w:b/>
                <w:sz w:val="20"/>
              </w:rPr>
              <w:t>Common Stock</w:t>
            </w:r>
          </w:p>
        </w:tc>
        <w:tc>
          <w:tcPr>
            <w:tcW w:w="15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b/>
                <w:sz w:val="20"/>
              </w:rPr>
            </w:pPr>
            <w:bookmarkStart w:id="20" w:name="xdx_90E_edei--TradingSymbol_c20260625__2"/>
            <w:bookmarkEnd w:id="20"/>
            <w:r>
              <w:rPr>
                <w:b/>
                <w:sz w:val="20"/>
              </w:rPr>
              <w:t>BCRX</w:t>
            </w:r>
          </w:p>
        </w:tc>
        <w:tc>
          <w:tcPr>
            <w:tcW w:w="35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b/>
                <w:sz w:val="20"/>
              </w:rPr>
            </w:pPr>
            <w:bookmarkStart w:id="21" w:name="xdx_907_edei--SecurityExchangeName_c2026"/>
            <w:bookmarkEnd w:id="21"/>
            <w:r>
              <w:rPr>
                <w:b/>
                <w:sz w:val="20"/>
              </w:rPr>
              <w:t>Nasdaq Global Select Market</w:t>
            </w:r>
          </w:p>
        </w:tc>
      </w:tr>
    </w:tbl>
    <w:p>
      <w:pPr>
        <w:pStyle w:val="TextBody"/>
        <w:bidi w:val="0"/>
        <w:spacing w:before="0" w:after="0"/>
        <w:ind w:left="0" w:right="0" w:hanging="0"/>
        <w:jc w:val="left"/>
        <w:rPr/>
      </w:pPr>
      <w:r>
        <w:rPr/>
        <w:t> </w:t>
      </w:r>
    </w:p>
    <w:p>
      <w:pPr>
        <w:pStyle w:val="TextBody"/>
        <w:bidi w:val="0"/>
        <w:spacing w:before="0" w:after="0"/>
        <w:ind w:left="380" w:right="380" w:hanging="0"/>
        <w:jc w:val="left"/>
        <w:rPr>
          <w:sz w:val="20"/>
        </w:rPr>
      </w:pPr>
      <w:r>
        <w:rPr>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380" w:right="380" w:hanging="0"/>
        <w:jc w:val="left"/>
        <w:rPr/>
      </w:pPr>
      <w:r>
        <w:rPr/>
        <w:t> </w:t>
      </w:r>
    </w:p>
    <w:p>
      <w:pPr>
        <w:pStyle w:val="TextBody"/>
        <w:bidi w:val="0"/>
        <w:spacing w:before="0" w:after="0"/>
        <w:ind w:left="0" w:right="0" w:hanging="0"/>
        <w:jc w:val="left"/>
        <w:rPr>
          <w:sz w:val="20"/>
        </w:rPr>
      </w:pPr>
      <w:r>
        <w:rPr>
          <w:sz w:val="20"/>
        </w:rPr>
        <w:t xml:space="preserve">Emerging growth company </w:t>
      </w:r>
      <w:bookmarkStart w:id="22" w:name="xdx_900_edei--EntityEmergingGrowthCompan"/>
      <w:bookmarkEnd w:id="22"/>
      <w:r>
        <w:rPr>
          <w:sz w:val="20"/>
        </w:rPr>
        <w:t>☐</w:t>
      </w:r>
    </w:p>
    <w:p>
      <w:pPr>
        <w:pStyle w:val="TextBody"/>
        <w:bidi w:val="0"/>
        <w:spacing w:before="0" w:after="0"/>
        <w:ind w:left="0" w:right="0" w:hanging="0"/>
        <w:jc w:val="left"/>
        <w:rPr/>
      </w:pPr>
      <w:r>
        <w:rPr/>
        <w:t> </w:t>
      </w:r>
    </w:p>
    <w:p>
      <w:pPr>
        <w:pStyle w:val="TextBody"/>
        <w:bidi w:val="0"/>
        <w:spacing w:before="0" w:after="0"/>
        <w:ind w:left="140" w:right="140" w:hanging="0"/>
        <w:jc w:val="left"/>
        <w:rPr>
          <w:sz w:val="20"/>
        </w:rPr>
      </w:pPr>
      <w:r>
        <w:rPr>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olor w:val="FF0000"/>
        </w:rPr>
      </w:pPr>
      <w:r>
        <w:rPr>
          <w:color w:val="FF0000"/>
        </w:rPr>
        <w:t> </w:t>
      </w:r>
    </w:p>
    <w:p>
      <w:pPr>
        <w:pStyle w:val="TextBody"/>
        <w:bidi w:val="0"/>
        <w:spacing w:before="0" w:after="0"/>
        <w:ind w:left="0" w:right="0" w:hanging="0"/>
        <w:jc w:val="left"/>
        <w:rPr>
          <w:bdr w:val="single" w:sz="24" w:space="1" w:color="000000"/>
        </w:rPr>
      </w:pPr>
      <w:r>
        <w:rPr>
          <w:bdr w:val="single" w:sz="24"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olor w:val="FF0000"/>
        </w:rPr>
      </w:pPr>
      <w:r>
        <w:rPr>
          <w:color w:val="FF0000"/>
        </w:rPr>
        <w:t> </w:t>
      </w:r>
    </w:p>
    <w:p>
      <w:pPr>
        <w:pStyle w:val="TextBody"/>
        <w:bidi w:val="0"/>
        <w:spacing w:before="0" w:after="0"/>
        <w:ind w:left="0" w:right="0" w:hanging="0"/>
        <w:jc w:val="center"/>
        <w:rPr>
          <w:b/>
          <w:sz w:val="20"/>
        </w:rPr>
      </w:pPr>
      <w:r>
        <w:rPr>
          <w:b/>
          <w:sz w:val="20"/>
        </w:rPr>
        <w:t>Explanatory Note</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bookmarkStart w:id="23" w:name="xdx_903_edei--AmendmentDescription_c2026"/>
      <w:bookmarkEnd w:id="23"/>
      <w:r>
        <w:rPr>
          <w:sz w:val="20"/>
        </w:rPr>
        <w:t>This Current Report on Form 8-K/A (the “Form 8-K/A”) amends the Current Report on Form 8-K filed by BioCryst Pharmaceuticals, Inc. (the “Company”) with the Securities and Exchange Commission (the “SEC”) on June 29, 2026 (the “Original Report”) and is being filed solely to amend and supplement the Company’s disclosure contained in Item 2.05 of the Original Report. The Original Report otherwise remains unchanged.</w:t>
      </w:r>
    </w:p>
    <w:p>
      <w:pPr>
        <w:pStyle w:val="TextBody"/>
        <w:bidi w:val="0"/>
        <w:spacing w:before="0" w:after="0"/>
        <w:ind w:left="0" w:right="0" w:hanging="0"/>
        <w:jc w:val="left"/>
        <w:rPr/>
      </w:pPr>
      <w:r>
        <w:rPr/>
        <w:t> </w:t>
      </w:r>
    </w:p>
    <w:p>
      <w:pPr>
        <w:pStyle w:val="TextBody"/>
        <w:bidi w:val="0"/>
        <w:spacing w:before="0" w:after="0"/>
        <w:ind w:left="0" w:right="0" w:hanging="0"/>
        <w:jc w:val="left"/>
        <w:rPr>
          <w:b/>
          <w:sz w:val="20"/>
        </w:rPr>
      </w:pPr>
      <w:r>
        <w:rPr>
          <w:b/>
          <w:sz w:val="20"/>
        </w:rPr>
        <w:t>Item 2.05. Costs Associated with Exit or Disposal Activities.</w:t>
      </w:r>
    </w:p>
    <w:p>
      <w:pPr>
        <w:pStyle w:val="TextBody"/>
        <w:bidi w:val="0"/>
        <w:spacing w:before="0" w:after="0"/>
        <w:ind w:left="0" w:right="0" w:hanging="0"/>
        <w:jc w:val="left"/>
        <w:rPr/>
      </w:pPr>
      <w:r>
        <w:rPr/>
        <w:t> </w:t>
      </w:r>
    </w:p>
    <w:p>
      <w:pPr>
        <w:pStyle w:val="TextBody"/>
        <w:bidi w:val="0"/>
        <w:spacing w:before="0" w:after="0"/>
        <w:ind w:left="0" w:right="0" w:hanging="0"/>
        <w:jc w:val="both"/>
        <w:rPr>
          <w:sz w:val="20"/>
        </w:rPr>
      </w:pPr>
      <w:r>
        <w:rPr>
          <w:sz w:val="20"/>
        </w:rPr>
        <w:t xml:space="preserve">On June 29, 2026, the Company announced its </w:t>
      </w:r>
      <w:r>
        <w:rPr>
          <w:sz w:val="20"/>
          <w:shd w:fill="FFFFFF" w:val="clear"/>
        </w:rPr>
        <w:t>plan to discontinue the Company’s internal discovery programs and close its Discovery Center of Excellence facility in Birmingham, Alabama (the “Plan”) as part of the Company’s ongoing strategic evolution to strengthen its rare disease pipeline. At the time of the Original Report, the Company was not able to make a good faith estimate of the costs it would incur in connection with the Plan.</w:t>
      </w:r>
    </w:p>
    <w:p>
      <w:pPr>
        <w:pStyle w:val="TextBody"/>
        <w:bidi w:val="0"/>
        <w:spacing w:before="0" w:after="0"/>
        <w:ind w:left="0" w:right="0" w:hanging="0"/>
        <w:jc w:val="both"/>
        <w:rPr/>
      </w:pPr>
      <w:r>
        <w:rPr/>
        <w:t> </w:t>
      </w:r>
    </w:p>
    <w:p>
      <w:pPr>
        <w:pStyle w:val="TextBody"/>
        <w:bidi w:val="0"/>
        <w:spacing w:before="0" w:after="0"/>
        <w:ind w:left="0" w:right="0" w:hanging="0"/>
        <w:jc w:val="both"/>
        <w:rPr>
          <w:sz w:val="20"/>
          <w:shd w:fill="FFFFFF" w:val="clear"/>
        </w:rPr>
      </w:pPr>
      <w:r>
        <w:rPr>
          <w:sz w:val="20"/>
          <w:shd w:fill="FFFFFF" w:val="clear"/>
        </w:rPr>
        <w:t>The Company now estimates that it will incur between $6.2 and $7.5 million in one-time expenses in connection with employee termination benefits and severance, of which approximately $5.3 to $6.6 million are expected to be cash expenditures. While the Company expects costs associated with the Plan to also include costs related to the closure of the Discovery Center of Excellence facility, such as contract and lease termination or asset impairment charges, among other costs, management’s analysis of the Plan’s execution is still ongoing. As such, the Company is currently unable in good faith to estimate the total amount or range of amounts expected to be incurred in connection with such facility closure-related costs, or of any charges that will result in future cash expenditures. The Company will file an amended Current Report on Form 8-K or other periodic report after it makes a determination of such an estimate or range of estimates.</w:t>
      </w:r>
    </w:p>
    <w:p>
      <w:pPr>
        <w:pStyle w:val="TextBody"/>
        <w:bidi w:val="0"/>
        <w:spacing w:before="0" w:after="0"/>
        <w:ind w:left="0" w:right="0" w:hanging="0"/>
        <w:jc w:val="both"/>
        <w:rPr/>
      </w:pPr>
      <w:r>
        <w:rPr/>
        <w:t> </w:t>
      </w:r>
    </w:p>
    <w:p>
      <w:pPr>
        <w:pStyle w:val="TextBody"/>
        <w:bidi w:val="0"/>
        <w:spacing w:before="0" w:after="0"/>
        <w:ind w:left="0" w:right="0" w:hanging="0"/>
        <w:jc w:val="both"/>
        <w:rPr>
          <w:i/>
          <w:sz w:val="20"/>
          <w:shd w:fill="FFFFFF" w:val="clear"/>
        </w:rPr>
      </w:pPr>
      <w:r>
        <w:rPr>
          <w:i/>
          <w:sz w:val="20"/>
          <w:shd w:fill="FFFFFF" w:val="clear"/>
        </w:rPr>
        <w:t>Cautionary Statement Regarding Forward-Looking Statements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shd w:fill="FFFFFF" w:val="clear"/>
        </w:rPr>
        <w:t xml:space="preserve">This </w:t>
      </w:r>
      <w:r>
        <w:rPr>
          <w:sz w:val="20"/>
        </w:rPr>
        <w:t xml:space="preserve">Form 8-K/A </w:t>
      </w:r>
      <w:r>
        <w:rPr>
          <w:sz w:val="20"/>
          <w:shd w:fill="FFFFFF" w:val="clear"/>
        </w:rPr>
        <w:t>contains forward-looking statements, including statements related to the implementation of the Plan and related expenses. These statements involve known and unknown risks, uncertainties and other factors which may cause the Company’s actual results to be materially different from any future results expressed or implied by the forward-looking statements. These statements reflect our current views with respect to future events and are based on assumptions and are subject to risks and uncertainties. Given these uncertainties, you should not place undue reliance on these forward-looking statements. For a further description of such risks and uncertainties, please refer to the documents the Company files periodically with the SEC, specifically the Company’s most recent Annual Report on Form 10-K, Quarterly Reports on Form 10-Q, and Current Reports on Form 8-K, which identify important factors that could cause actual results to differ materially from those contained in the Company’s forward-looking statements.</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left"/>
        <w:rPr>
          <w:bdr w:val="single" w:sz="24" w:space="1" w:color="000000"/>
        </w:rPr>
      </w:pPr>
      <w:r>
        <w:rPr>
          <w:bdr w:val="single" w:sz="24"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SIGNATURE</w:t>
      </w:r>
    </w:p>
    <w:p>
      <w:pPr>
        <w:pStyle w:val="TextBody"/>
        <w:bidi w:val="0"/>
        <w:spacing w:before="0" w:after="0"/>
        <w:ind w:left="0" w:right="0" w:hanging="0"/>
        <w:jc w:val="center"/>
        <w:rPr/>
      </w:pPr>
      <w:r>
        <w:rPr/>
        <w:t> </w:t>
      </w:r>
    </w:p>
    <w:p>
      <w:pPr>
        <w:pStyle w:val="TextBody"/>
        <w:bidi w:val="0"/>
        <w:spacing w:before="0" w:after="0"/>
        <w:ind w:left="0" w:right="0" w:hanging="0"/>
        <w:jc w:val="both"/>
        <w:rPr>
          <w:sz w:val="20"/>
        </w:rPr>
      </w:pPr>
      <w:r>
        <w:rPr>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tbl>
      <w:tblPr>
        <w:tblW w:w="5334" w:type="dxa"/>
        <w:jc w:val="left"/>
        <w:tblInd w:w="0" w:type="dxa"/>
        <w:tblLayout w:type="fixed"/>
        <w:tblCellMar>
          <w:top w:w="0" w:type="dxa"/>
          <w:left w:w="0" w:type="dxa"/>
          <w:bottom w:w="0" w:type="dxa"/>
          <w:right w:w="0" w:type="dxa"/>
        </w:tblCellMar>
      </w:tblPr>
      <w:tblGrid>
        <w:gridCol w:w="2075"/>
        <w:gridCol w:w="60"/>
        <w:gridCol w:w="462"/>
        <w:gridCol w:w="2737"/>
      </w:tblGrid>
      <w:tr>
        <w:trPr/>
        <w:tc>
          <w:tcPr>
            <w:tcW w:w="2075" w:type="dxa"/>
            <w:tcBorders/>
            <w:vAlign w:val="center"/>
          </w:tcPr>
          <w:p>
            <w:pPr>
              <w:pStyle w:val="TableContents"/>
              <w:bidi w:val="0"/>
              <w:spacing w:before="0" w:after="283"/>
              <w:jc w:val="both"/>
              <w:rPr/>
            </w:pPr>
            <w:r>
              <w:rPr/>
              <w:t>Date: August 4, 2026</w:t>
            </w:r>
          </w:p>
        </w:tc>
        <w:tc>
          <w:tcPr>
            <w:tcW w:w="60" w:type="dxa"/>
            <w:tcBorders/>
            <w:vAlign w:val="center"/>
          </w:tcPr>
          <w:p>
            <w:pPr>
              <w:pStyle w:val="TableContents"/>
              <w:bidi w:val="0"/>
              <w:spacing w:before="0" w:after="283"/>
              <w:jc w:val="both"/>
              <w:rPr/>
            </w:pPr>
            <w:r>
              <w:rPr/>
              <w:t> </w:t>
            </w:r>
          </w:p>
        </w:tc>
        <w:tc>
          <w:tcPr>
            <w:tcW w:w="3199" w:type="dxa"/>
            <w:gridSpan w:val="2"/>
            <w:tcBorders/>
            <w:vAlign w:val="center"/>
          </w:tcPr>
          <w:p>
            <w:pPr>
              <w:pStyle w:val="TableContents"/>
              <w:bidi w:val="0"/>
              <w:spacing w:before="0" w:after="283"/>
              <w:jc w:val="both"/>
              <w:rPr>
                <w:b/>
              </w:rPr>
            </w:pPr>
            <w:r>
              <w:rPr>
                <w:b/>
              </w:rPr>
              <w:t>BioCryst Pharmaceuticals, Inc.</w:t>
            </w:r>
          </w:p>
        </w:tc>
      </w:tr>
      <w:tr>
        <w:trPr/>
        <w:tc>
          <w:tcPr>
            <w:tcW w:w="207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62" w:type="dxa"/>
            <w:tcBorders/>
            <w:vAlign w:val="center"/>
          </w:tcPr>
          <w:p>
            <w:pPr>
              <w:pStyle w:val="TableContents"/>
              <w:bidi w:val="0"/>
              <w:spacing w:before="0" w:after="0"/>
              <w:ind w:left="0" w:right="0" w:hanging="0"/>
              <w:jc w:val="both"/>
              <w:rPr/>
            </w:pPr>
            <w:r>
              <w:rPr/>
              <w:t> </w:t>
            </w:r>
          </w:p>
          <w:p>
            <w:pPr>
              <w:pStyle w:val="TableContents"/>
              <w:bidi w:val="0"/>
              <w:spacing w:before="0" w:after="0"/>
              <w:ind w:left="0" w:right="0" w:hanging="0"/>
              <w:jc w:val="both"/>
              <w:rPr/>
            </w:pPr>
            <w:r>
              <w:rPr/>
              <w:t> </w:t>
            </w:r>
          </w:p>
          <w:p>
            <w:pPr>
              <w:pStyle w:val="TableContents"/>
              <w:bidi w:val="0"/>
              <w:spacing w:before="0" w:after="0"/>
              <w:ind w:left="0" w:right="0" w:hanging="0"/>
              <w:jc w:val="both"/>
              <w:rPr>
                <w:sz w:val="20"/>
              </w:rPr>
            </w:pPr>
            <w:r>
              <w:rPr>
                <w:sz w:val="20"/>
              </w:rPr>
              <w:t>By:</w:t>
            </w:r>
          </w:p>
        </w:tc>
        <w:tc>
          <w:tcPr>
            <w:tcW w:w="2737" w:type="dxa"/>
            <w:tcBorders>
              <w:bottom w:val="single" w:sz="8" w:space="0" w:color="000000"/>
            </w:tcBorders>
            <w:tcMar>
              <w:bottom w:w="28" w:type="dxa"/>
            </w:tcMar>
            <w:vAlign w:val="center"/>
          </w:tcPr>
          <w:p>
            <w:pPr>
              <w:pStyle w:val="TableContents"/>
              <w:bidi w:val="0"/>
              <w:spacing w:before="0" w:after="0"/>
              <w:ind w:left="0" w:right="0" w:hanging="0"/>
              <w:jc w:val="both"/>
              <w:rPr/>
            </w:pPr>
            <w:r>
              <w:rPr/>
              <w:t> </w:t>
            </w:r>
          </w:p>
          <w:p>
            <w:pPr>
              <w:pStyle w:val="TableContents"/>
              <w:bidi w:val="0"/>
              <w:spacing w:before="0" w:after="0"/>
              <w:ind w:left="0" w:right="0" w:hanging="0"/>
              <w:jc w:val="both"/>
              <w:rPr/>
            </w:pPr>
            <w:r>
              <w:rPr/>
              <w:t> </w:t>
            </w:r>
          </w:p>
          <w:p>
            <w:pPr>
              <w:pStyle w:val="TableContents"/>
              <w:bidi w:val="0"/>
              <w:spacing w:before="0" w:after="0"/>
              <w:ind w:left="0" w:right="0" w:hanging="0"/>
              <w:jc w:val="both"/>
              <w:rPr>
                <w:sz w:val="20"/>
              </w:rPr>
            </w:pPr>
            <w:r>
              <w:rPr>
                <w:sz w:val="20"/>
              </w:rPr>
              <w:t>/s/ Alane Barnes</w:t>
            </w:r>
          </w:p>
        </w:tc>
      </w:tr>
      <w:tr>
        <w:trPr/>
        <w:tc>
          <w:tcPr>
            <w:tcW w:w="207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62" w:type="dxa"/>
            <w:tcBorders/>
            <w:vAlign w:val="center"/>
          </w:tcPr>
          <w:p>
            <w:pPr>
              <w:pStyle w:val="TableContents"/>
              <w:bidi w:val="0"/>
              <w:spacing w:before="0" w:after="283"/>
              <w:jc w:val="both"/>
              <w:rPr/>
            </w:pPr>
            <w:r>
              <w:rPr/>
              <w:t> </w:t>
            </w:r>
          </w:p>
        </w:tc>
        <w:tc>
          <w:tcPr>
            <w:tcW w:w="2737" w:type="dxa"/>
            <w:tcBorders/>
            <w:vAlign w:val="center"/>
          </w:tcPr>
          <w:p>
            <w:pPr>
              <w:pStyle w:val="TableContents"/>
              <w:bidi w:val="0"/>
              <w:spacing w:before="0" w:after="283"/>
              <w:jc w:val="both"/>
              <w:rPr/>
            </w:pPr>
            <w:r>
              <w:rPr/>
              <w:t>Alane Barnes</w:t>
            </w:r>
          </w:p>
        </w:tc>
      </w:tr>
      <w:tr>
        <w:trPr/>
        <w:tc>
          <w:tcPr>
            <w:tcW w:w="207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62" w:type="dxa"/>
            <w:tcBorders/>
            <w:vAlign w:val="center"/>
          </w:tcPr>
          <w:p>
            <w:pPr>
              <w:pStyle w:val="TableContents"/>
              <w:bidi w:val="0"/>
              <w:spacing w:before="0" w:after="283"/>
              <w:jc w:val="both"/>
              <w:rPr/>
            </w:pPr>
            <w:r>
              <w:rPr/>
              <w:t> </w:t>
            </w:r>
          </w:p>
        </w:tc>
        <w:tc>
          <w:tcPr>
            <w:tcW w:w="2737" w:type="dxa"/>
            <w:tcBorders/>
            <w:vAlign w:val="center"/>
          </w:tcPr>
          <w:p>
            <w:pPr>
              <w:pStyle w:val="TableContents"/>
              <w:bidi w:val="0"/>
              <w:spacing w:before="0" w:after="283"/>
              <w:jc w:val="both"/>
              <w:rPr/>
            </w:pPr>
            <w:r>
              <w:rPr/>
              <w:t>Chief Legal Officer</w:t>
            </w:r>
          </w:p>
        </w:tc>
      </w:tr>
    </w:tbl>
    <w:p>
      <w:pPr>
        <w:pStyle w:val="TextBody"/>
        <w:bidi w:val="0"/>
        <w:spacing w:before="0" w:after="0"/>
        <w:ind w:left="0" w:right="0" w:hanging="0"/>
        <w:jc w:val="both"/>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60" w:after="60"/>
        <w:ind w:left="60" w:right="60" w:hanging="0"/>
        <w:jc w:val="left"/>
        <w:rPr>
          <w:bdr w:val="single" w:sz="24" w:space="1" w:color="000000"/>
        </w:rPr>
      </w:pPr>
      <w:r>
        <w:rPr>
          <w:bdr w:val="single" w:sz="24"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801</Words>
  <Characters>4494</Characters>
  <CharactersWithSpaces>5300</CharactersWithSpaces>
  <Paragraphs>125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