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89" w:lineRule="exact"/>
        <w:rPr>
          <w:sz w:val="24"/>
          <w:szCs w:val="24"/>
          <w:color w:val="auto"/>
        </w:rPr>
      </w:pPr>
    </w:p>
    <w:p>
      <w:pPr>
        <w:ind w:right="2340"/>
        <w:spacing w:after="0" w:line="461"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quarterly period ended September 30, 2024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right="2360"/>
        <w:spacing w:after="0" w:line="459" w:lineRule="auto"/>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transition period from ______________________ to ______________________</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Commission File Number: 000-23186</w:t>
            </w:r>
          </w:p>
        </w:tc>
        <w:tc>
          <w:tcPr>
            <w:tcW w:w="4120" w:type="dxa"/>
            <w:vAlign w:val="bottom"/>
          </w:tcPr>
          <w:p>
            <w:pPr>
              <w:spacing w:after="0"/>
              <w:rPr>
                <w:sz w:val="20"/>
                <w:szCs w:val="20"/>
                <w:color w:val="auto"/>
              </w:rPr>
            </w:pPr>
          </w:p>
        </w:tc>
      </w:tr>
      <w:tr>
        <w:trPr>
          <w:trHeight w:val="373"/>
        </w:trPr>
        <w:tc>
          <w:tcPr>
            <w:tcW w:w="2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40" w:type="dxa"/>
            <w:vAlign w:val="bottom"/>
            <w:gridSpan w:val="3"/>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r>
      <w:tr>
        <w:trPr>
          <w:trHeight w:val="234"/>
        </w:trPr>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40" w:type="dxa"/>
            <w:vAlign w:val="bottom"/>
            <w:gridSpan w:val="3"/>
          </w:tcPr>
          <w:p>
            <w:pPr>
              <w:jc w:val="center"/>
              <w:ind w:right="31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46"/>
        </w:trPr>
        <w:tc>
          <w:tcPr>
            <w:tcW w:w="2940" w:type="dxa"/>
            <w:vAlign w:val="bottom"/>
          </w:tcPr>
          <w:p>
            <w:pPr>
              <w:spacing w:after="0"/>
              <w:rPr>
                <w:sz w:val="24"/>
                <w:szCs w:val="24"/>
                <w:color w:val="auto"/>
              </w:rPr>
            </w:pPr>
          </w:p>
        </w:tc>
        <w:tc>
          <w:tcPr>
            <w:tcW w:w="4200" w:type="dxa"/>
            <w:vAlign w:val="bottom"/>
            <w:gridSpan w:val="3"/>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120" w:type="dxa"/>
            <w:vAlign w:val="bottom"/>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62-1413174</w:t>
            </w:r>
          </w:p>
        </w:tc>
      </w:tr>
      <w:tr>
        <w:trPr>
          <w:trHeight w:val="256"/>
        </w:trPr>
        <w:tc>
          <w:tcPr>
            <w:tcW w:w="71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57"/>
        </w:trPr>
        <w:tc>
          <w:tcPr>
            <w:tcW w:w="71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27"/>
        </w:trPr>
        <w:tc>
          <w:tcPr>
            <w:tcW w:w="71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4505 Emperor Blvd., Suite 200</w:t>
            </w:r>
          </w:p>
        </w:tc>
        <w:tc>
          <w:tcPr>
            <w:tcW w:w="4120" w:type="dxa"/>
            <w:vAlign w:val="bottom"/>
          </w:tcPr>
          <w:p>
            <w:pPr>
              <w:spacing w:after="0"/>
              <w:rPr>
                <w:sz w:val="24"/>
                <w:szCs w:val="24"/>
                <w:color w:val="auto"/>
              </w:rPr>
            </w:pPr>
          </w:p>
        </w:tc>
      </w:tr>
      <w:tr>
        <w:trPr>
          <w:trHeight w:val="256"/>
        </w:trPr>
        <w:tc>
          <w:tcPr>
            <w:tcW w:w="71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Durham, North Carolina</w:t>
            </w:r>
          </w:p>
        </w:tc>
        <w:tc>
          <w:tcPr>
            <w:tcW w:w="4120" w:type="dxa"/>
            <w:vAlign w:val="bottom"/>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rPr>
              <w:t>27703</w:t>
            </w:r>
          </w:p>
        </w:tc>
      </w:tr>
      <w:tr>
        <w:trPr>
          <w:trHeight w:val="257"/>
        </w:trPr>
        <w:tc>
          <w:tcPr>
            <w:tcW w:w="71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(Zip Code)</w:t>
            </w:r>
          </w:p>
        </w:tc>
      </w:tr>
      <w:tr>
        <w:trPr>
          <w:trHeight w:val="481"/>
        </w:trPr>
        <w:tc>
          <w:tcPr>
            <w:tcW w:w="2940" w:type="dxa"/>
            <w:vAlign w:val="bottom"/>
          </w:tcPr>
          <w:p>
            <w:pPr>
              <w:spacing w:after="0"/>
              <w:rPr>
                <w:sz w:val="24"/>
                <w:szCs w:val="24"/>
                <w:color w:val="auto"/>
              </w:rPr>
            </w:pPr>
          </w:p>
        </w:tc>
        <w:tc>
          <w:tcPr>
            <w:tcW w:w="3480" w:type="dxa"/>
            <w:vAlign w:val="bottom"/>
            <w:gridSpan w:val="2"/>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+1-919-859-1302</w:t>
            </w:r>
          </w:p>
        </w:tc>
        <w:tc>
          <w:tcPr>
            <w:tcW w:w="7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40" w:type="dxa"/>
            <w:vAlign w:val="bottom"/>
            <w:gridSpan w:val="3"/>
          </w:tcPr>
          <w:p>
            <w:pPr>
              <w:jc w:val="center"/>
              <w:ind w:right="31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05"/>
        </w:trPr>
        <w:tc>
          <w:tcPr>
            <w:tcW w:w="7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20" w:type="dxa"/>
            <w:vAlign w:val="bottom"/>
          </w:tcPr>
          <w:p>
            <w:pPr>
              <w:spacing w:after="0"/>
              <w:rPr>
                <w:sz w:val="24"/>
                <w:szCs w:val="24"/>
                <w:color w:val="auto"/>
              </w:rPr>
            </w:pPr>
          </w:p>
        </w:tc>
      </w:tr>
      <w:tr>
        <w:trPr>
          <w:trHeight w:val="202"/>
        </w:trPr>
        <w:tc>
          <w:tcPr>
            <w:tcW w:w="2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r>
      <w:tr>
        <w:trPr>
          <w:trHeight w:val="244"/>
        </w:trPr>
        <w:tc>
          <w:tcPr>
            <w:tcW w:w="2940" w:type="dxa"/>
            <w:vAlign w:val="bottom"/>
            <w:tcBorders>
              <w:left w:val="single" w:sz="8" w:color="auto"/>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720" w:type="dxa"/>
            <w:vAlign w:val="bottom"/>
            <w:tcBorders>
              <w:bottom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2940" w:type="dxa"/>
            <w:vAlign w:val="bottom"/>
            <w:tcBorders>
              <w:left w:val="single" w:sz="8" w:color="auto"/>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28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BCRX</w:t>
            </w:r>
          </w:p>
        </w:tc>
        <w:tc>
          <w:tcPr>
            <w:tcW w:w="720" w:type="dxa"/>
            <w:vAlign w:val="bottom"/>
            <w:tcBorders>
              <w:bottom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52"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9"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2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5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1100"/>
              <w:spacing w:after="0" w:line="198" w:lineRule="exact"/>
              <w:rPr>
                <w:sz w:val="20"/>
                <w:szCs w:val="20"/>
                <w:color w:val="auto"/>
              </w:rPr>
            </w:pPr>
            <w:r>
              <w:rPr>
                <w:rFonts w:ascii="Wingdings" w:cs="Wingdings" w:eastAsia="Wingdings" w:hAnsi="Wingdings"/>
                <w:sz w:val="18"/>
                <w:szCs w:val="18"/>
                <w:b w:val="1"/>
                <w:bCs w:val="1"/>
                <w:color w:val="auto"/>
              </w:rPr>
              <w:t>x</w:t>
            </w:r>
          </w:p>
        </w:tc>
        <w:tc>
          <w:tcPr>
            <w:tcW w:w="5520" w:type="dxa"/>
            <w:vAlign w:val="bottom"/>
          </w:tcPr>
          <w:p>
            <w:pPr>
              <w:ind w:left="5360"/>
              <w:spacing w:after="0" w:line="198" w:lineRule="exact"/>
              <w:rPr>
                <w:sz w:val="20"/>
                <w:szCs w:val="20"/>
                <w:color w:val="auto"/>
              </w:rPr>
            </w:pPr>
            <w:r>
              <w:rPr>
                <w:rFonts w:ascii="Wingdings" w:cs="Wingdings" w:eastAsia="Wingdings" w:hAnsi="Wingdings"/>
                <w:sz w:val="18"/>
                <w:szCs w:val="18"/>
                <w:b w:val="1"/>
                <w:bCs w:val="1"/>
                <w:color w:val="auto"/>
                <w:w w:val="86"/>
              </w:rPr>
              <w:t>o</w:t>
            </w:r>
          </w:p>
        </w:tc>
      </w:tr>
      <w:tr>
        <w:trPr>
          <w:trHeight w:val="203"/>
        </w:trPr>
        <w:tc>
          <w:tcPr>
            <w:tcW w:w="27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spacing w:after="0"/>
              <w:rPr>
                <w:sz w:val="17"/>
                <w:szCs w:val="17"/>
                <w:color w:val="auto"/>
              </w:rPr>
            </w:pPr>
          </w:p>
        </w:tc>
        <w:tc>
          <w:tcPr>
            <w:tcW w:w="5520" w:type="dxa"/>
            <w:vAlign w:val="bottom"/>
          </w:tcPr>
          <w:p>
            <w:pPr>
              <w:ind w:left="1520"/>
              <w:spacing w:after="0" w:line="203" w:lineRule="exact"/>
              <w:rPr>
                <w:sz w:val="20"/>
                <w:szCs w:val="20"/>
                <w:color w:val="auto"/>
              </w:rPr>
            </w:pPr>
            <w:r>
              <w:rPr>
                <w:rFonts w:ascii="Times New Roman" w:cs="Times New Roman" w:eastAsia="Times New Roman" w:hAnsi="Times New Roman"/>
                <w:sz w:val="18"/>
                <w:szCs w:val="18"/>
                <w:color w:val="auto"/>
              </w:rPr>
              <w:t>Smaller reporting company</w:t>
            </w:r>
          </w:p>
        </w:tc>
      </w:tr>
      <w:tr>
        <w:trPr>
          <w:trHeight w:val="198"/>
        </w:trPr>
        <w:tc>
          <w:tcPr>
            <w:tcW w:w="2720" w:type="dxa"/>
            <w:vAlign w:val="bottom"/>
          </w:tcPr>
          <w:p>
            <w:pPr>
              <w:spacing w:after="0"/>
              <w:rPr>
                <w:sz w:val="17"/>
                <w:szCs w:val="17"/>
                <w:color w:val="auto"/>
              </w:rPr>
            </w:pPr>
          </w:p>
        </w:tc>
        <w:tc>
          <w:tcPr>
            <w:tcW w:w="2800" w:type="dxa"/>
            <w:vAlign w:val="bottom"/>
          </w:tcPr>
          <w:p>
            <w:pPr>
              <w:ind w:left="1100"/>
              <w:spacing w:after="0" w:line="198" w:lineRule="exact"/>
              <w:rPr>
                <w:sz w:val="20"/>
                <w:szCs w:val="20"/>
                <w:color w:val="auto"/>
              </w:rPr>
            </w:pPr>
            <w:r>
              <w:rPr>
                <w:rFonts w:ascii="Wingdings" w:cs="Wingdings" w:eastAsia="Wingdings" w:hAnsi="Wingdings"/>
                <w:sz w:val="18"/>
                <w:szCs w:val="18"/>
                <w:b w:val="1"/>
                <w:bCs w:val="1"/>
                <w:color w:val="auto"/>
              </w:rPr>
              <w:t>o</w:t>
            </w:r>
          </w:p>
        </w:tc>
        <w:tc>
          <w:tcPr>
            <w:tcW w:w="5520" w:type="dxa"/>
            <w:vAlign w:val="bottom"/>
          </w:tcPr>
          <w:p>
            <w:pPr>
              <w:ind w:left="5360"/>
              <w:spacing w:after="0" w:line="198" w:lineRule="exact"/>
              <w:rPr>
                <w:sz w:val="20"/>
                <w:szCs w:val="20"/>
                <w:color w:val="auto"/>
              </w:rPr>
            </w:pPr>
            <w:r>
              <w:rPr>
                <w:rFonts w:ascii="Wingdings" w:cs="Wingdings" w:eastAsia="Wingdings" w:hAnsi="Wingdings"/>
                <w:sz w:val="18"/>
                <w:szCs w:val="18"/>
                <w:b w:val="1"/>
                <w:bCs w:val="1"/>
                <w:color w:val="auto"/>
                <w:w w:val="86"/>
              </w:rPr>
              <w:t>o</w:t>
            </w:r>
          </w:p>
        </w:tc>
      </w:tr>
      <w:tr>
        <w:trPr>
          <w:trHeight w:val="248"/>
        </w:trPr>
        <w:tc>
          <w:tcPr>
            <w:tcW w:w="27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55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Emerging growth company</w:t>
            </w:r>
          </w:p>
        </w:tc>
      </w:tr>
      <w:tr>
        <w:trPr>
          <w:trHeight w:val="198"/>
        </w:trPr>
        <w:tc>
          <w:tcPr>
            <w:tcW w:w="27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520" w:type="dxa"/>
            <w:vAlign w:val="bottom"/>
          </w:tcPr>
          <w:p>
            <w:pPr>
              <w:ind w:left="5360"/>
              <w:spacing w:after="0" w:line="198" w:lineRule="exact"/>
              <w:rPr>
                <w:sz w:val="20"/>
                <w:szCs w:val="20"/>
                <w:color w:val="auto"/>
              </w:rPr>
            </w:pPr>
            <w:r>
              <w:rPr>
                <w:rFonts w:ascii="Wingdings" w:cs="Wingdings" w:eastAsia="Wingdings" w:hAnsi="Wingdings"/>
                <w:sz w:val="18"/>
                <w:szCs w:val="18"/>
                <w:b w:val="1"/>
                <w:bCs w:val="1"/>
                <w:color w:val="auto"/>
                <w:w w:val="86"/>
              </w:rPr>
              <w:t>o</w:t>
            </w:r>
          </w:p>
        </w:tc>
      </w:tr>
    </w:tbl>
    <w:p>
      <w:pPr>
        <w:spacing w:after="0" w:line="297" w:lineRule="exact"/>
        <w:rPr>
          <w:sz w:val="24"/>
          <w:szCs w:val="24"/>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2024, the registrant had 207,132,571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340" w:type="dxa"/>
            <w:vAlign w:val="bottom"/>
            <w:gridSpan w:val="8"/>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0" w:type="dxa"/>
            <w:vAlign w:val="bottom"/>
            <w:gridSpan w:val="5"/>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459"/>
        </w:trPr>
        <w:tc>
          <w:tcPr>
            <w:tcW w:w="4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6160" w:type="dxa"/>
            <w:vAlign w:val="bottom"/>
            <w:gridSpan w:val="6"/>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0000FF"/>
              </w:rPr>
              <w:t>i</w:t>
            </w:r>
          </w:p>
        </w:tc>
      </w:tr>
      <w:tr>
        <w:trPr>
          <w:trHeight w:val="237"/>
        </w:trPr>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ii</w:t>
            </w: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r>
              <w:rPr>
                <w:rFonts w:ascii="Times New Roman" w:cs="Times New Roman" w:eastAsia="Times New Roman" w:hAnsi="Times New Roman"/>
                <w:sz w:val="18"/>
                <w:szCs w:val="18"/>
                <w:u w:val="single" w:color="auto"/>
                <w:color w:val="0000FF"/>
              </w:rPr>
              <w:t>:</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10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9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and Nine Months Ended September 30, 2024 and 2023</w:t>
            </w:r>
          </w:p>
        </w:tc>
        <w:tc>
          <w:tcPr>
            <w:tcW w:w="780" w:type="dxa"/>
            <w:vAlign w:val="bottom"/>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79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2024 and 2023</w:t>
            </w: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10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for the Three and Nine Months Ended September 30, 2024 and 2023</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6320" w:type="dxa"/>
            <w:vAlign w:val="bottom"/>
            <w:gridSpan w:val="7"/>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00" w:type="dxa"/>
            <w:vAlign w:val="bottom"/>
            <w:gridSpan w:val="3"/>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0"/>
                <w:szCs w:val="20"/>
                <w:color w:val="auto"/>
              </w:rPr>
            </w:pPr>
          </w:p>
        </w:tc>
      </w:tr>
      <w:tr>
        <w:trPr>
          <w:trHeight w:val="236"/>
        </w:trPr>
        <w:tc>
          <w:tcPr>
            <w:tcW w:w="49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400" w:type="dxa"/>
            <w:vAlign w:val="bottom"/>
            <w:gridSpan w:val="5"/>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20"/>
                <w:szCs w:val="20"/>
                <w:color w:val="auto"/>
              </w:rPr>
            </w:pPr>
          </w:p>
        </w:tc>
      </w:tr>
      <w:tr>
        <w:trPr>
          <w:trHeight w:val="237"/>
        </w:trPr>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20"/>
                <w:szCs w:val="20"/>
                <w:color w:val="auto"/>
              </w:rPr>
            </w:pPr>
          </w:p>
        </w:tc>
      </w:tr>
      <w:tr>
        <w:trPr>
          <w:trHeight w:val="237"/>
        </w:trPr>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8000" w:type="dxa"/>
            <w:vAlign w:val="bottom"/>
            <w:gridSpan w:val="9"/>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20"/>
                <w:szCs w:val="20"/>
                <w:color w:val="auto"/>
              </w:rPr>
            </w:pPr>
          </w:p>
        </w:tc>
      </w:tr>
      <w:tr>
        <w:trPr>
          <w:trHeight w:val="237"/>
        </w:trPr>
        <w:tc>
          <w:tcPr>
            <w:tcW w:w="16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60" w:type="dxa"/>
            <w:vAlign w:val="bottom"/>
            <w:tcBorders>
              <w:top w:val="single" w:sz="8" w:color="0000FF"/>
            </w:tcBorders>
          </w:tcPr>
          <w:p>
            <w:pPr>
              <w:spacing w:after="0"/>
              <w:rPr>
                <w:sz w:val="20"/>
                <w:szCs w:val="20"/>
                <w:color w:val="auto"/>
              </w:rPr>
            </w:pPr>
          </w:p>
        </w:tc>
        <w:tc>
          <w:tcPr>
            <w:tcW w:w="8460" w:type="dxa"/>
            <w:vAlign w:val="bottom"/>
            <w:gridSpan w:val="12"/>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20"/>
                <w:szCs w:val="20"/>
                <w:color w:val="auto"/>
              </w:rPr>
            </w:pPr>
          </w:p>
        </w:tc>
      </w:tr>
      <w:tr>
        <w:trPr>
          <w:trHeight w:val="237"/>
        </w:trPr>
        <w:tc>
          <w:tcPr>
            <w:tcW w:w="1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8440" w:type="dxa"/>
            <w:vAlign w:val="bottom"/>
            <w:gridSpan w:val="11"/>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20"/>
                <w:szCs w:val="20"/>
                <w:color w:val="auto"/>
              </w:rPr>
            </w:pPr>
          </w:p>
        </w:tc>
      </w:tr>
      <w:tr>
        <w:trPr>
          <w:trHeight w:val="236"/>
        </w:trPr>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20"/>
                <w:szCs w:val="20"/>
                <w:color w:val="auto"/>
              </w:rPr>
            </w:pPr>
          </w:p>
        </w:tc>
      </w:tr>
      <w:tr>
        <w:trPr>
          <w:trHeight w:val="237"/>
        </w:trPr>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160" w:type="dxa"/>
            <w:vAlign w:val="bottom"/>
            <w:gridSpan w:val="15"/>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Pr>
          <w:p>
            <w:pPr>
              <w:spacing w:after="0"/>
              <w:rPr>
                <w:sz w:val="20"/>
                <w:szCs w:val="20"/>
                <w:color w:val="auto"/>
              </w:rPr>
            </w:pPr>
          </w:p>
        </w:tc>
      </w:tr>
      <w:tr>
        <w:trPr>
          <w:trHeight w:val="493"/>
        </w:trPr>
        <w:tc>
          <w:tcPr>
            <w:tcW w:w="7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EX-10.1</w:t>
            </w:r>
          </w:p>
        </w:tc>
        <w:tc>
          <w:tcPr>
            <w:tcW w:w="9560" w:type="dxa"/>
            <w:vAlign w:val="bottom"/>
            <w:gridSpan w:val="16"/>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970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EX-31.1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EX-31.2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EX-32.1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When used in this report, unless otherwise indicated,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BioCryst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BioCryst Pharmaceuticals,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where appropriate, its subsidiaries.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“Risk Factors” and “Management’s Discussion and Analysis of Financial Condition and Results of Operations” sections of this report, as well as any amendments we make to those sections in filings with the Securities and Exchange Commission (“SEC”). These forward-looking statements include, but are not limited to, statements about:</w:t>
      </w:r>
    </w:p>
    <w:p>
      <w:pPr>
        <w:spacing w:after="0" w:line="154" w:lineRule="exact"/>
        <w:rPr>
          <w:sz w:val="20"/>
          <w:szCs w:val="20"/>
          <w:color w:val="auto"/>
        </w:rPr>
      </w:pPr>
    </w:p>
    <w:p>
      <w:pPr>
        <w:ind w:left="820" w:right="100" w:hanging="326"/>
        <w:spacing w:after="0" w:line="266"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development, clinical development, commercialization, or post-marketing studies of our products and product candidates, including ORLADEYO® (berotralstat), BCX17725, and early-stage discovery programs (including avoralstat and our complement inhibitors), and our plans regarding the same;</w:t>
      </w:r>
    </w:p>
    <w:p>
      <w:pPr>
        <w:spacing w:after="0" w:line="14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planned discontinuation of the development of BCX10013;</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discovery and commercialization of best-in-class and first-in-class medicines;</w:t>
      </w:r>
    </w:p>
    <w:p>
      <w:pPr>
        <w:spacing w:after="0" w:line="184"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our commercialization of ORLADEYO in the United States and elsewhere and expectations regarding the commercial market for ORLADEYO;</w:t>
      </w:r>
    </w:p>
    <w:p>
      <w:pPr>
        <w:spacing w:after="0" w:line="134"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government stockpiling orders of our products and product candidates, including the timing or likelihood of entering into any U.S. Government stockpile order and our ability to execute any such order;</w:t>
      </w:r>
    </w:p>
    <w:p>
      <w:pPr>
        <w:spacing w:after="0" w:line="12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regulatory approvals, or milestones, royalties or profit from sales of our products by us or our partners;</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products, product candidates and technology;</w:t>
      </w:r>
    </w:p>
    <w:p>
      <w:pPr>
        <w:spacing w:after="0" w:line="19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or out-license rights to our products and product candidates;</w:t>
      </w:r>
    </w:p>
    <w:p>
      <w:pPr>
        <w:spacing w:after="0" w:line="184" w:lineRule="exact"/>
        <w:rPr>
          <w:rFonts w:ascii="Times New Roman" w:cs="Times New Roman" w:eastAsia="Times New Roman" w:hAnsi="Times New Roman"/>
          <w:sz w:val="18"/>
          <w:szCs w:val="18"/>
          <w:color w:val="auto"/>
        </w:rPr>
      </w:pPr>
    </w:p>
    <w:p>
      <w:pPr>
        <w:ind w:left="820" w:right="10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programs, progress and potential success of our collaborations, including with Torii Pharmaceutical Co., Ltd. (“Torii”) for ORLADEYO in Japan and Shionogi &amp; Co., Ltd. (“Shionogi”) and Green Cross Corporation (“Green Cross”) for peramivir in their territories;</w:t>
      </w:r>
    </w:p>
    <w:p>
      <w:pPr>
        <w:spacing w:after="0" w:line="121" w:lineRule="exact"/>
        <w:rPr>
          <w:rFonts w:ascii="Times New Roman" w:cs="Times New Roman" w:eastAsia="Times New Roman" w:hAnsi="Times New Roman"/>
          <w:sz w:val="18"/>
          <w:szCs w:val="18"/>
          <w:color w:val="auto"/>
        </w:rPr>
      </w:pPr>
    </w:p>
    <w:p>
      <w:pPr>
        <w:ind w:left="820" w:right="20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subsidiary guarantors’ ability to satisfy obligations under the Pharmakon Loan Agreement (as defined below) and to comply with the covenants as set forth in the agreements governing our debt obligations;</w:t>
      </w:r>
    </w:p>
    <w:p>
      <w:pPr>
        <w:spacing w:after="0" w:line="134" w:lineRule="exact"/>
        <w:rPr>
          <w:rFonts w:ascii="Times New Roman" w:cs="Times New Roman" w:eastAsia="Times New Roman" w:hAnsi="Times New Roman"/>
          <w:sz w:val="18"/>
          <w:szCs w:val="18"/>
          <w:color w:val="auto"/>
        </w:rPr>
      </w:pPr>
    </w:p>
    <w:p>
      <w:pPr>
        <w:ind w:left="820" w:right="4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product candidates, and technology;</w:t>
      </w:r>
    </w:p>
    <w:p>
      <w:pPr>
        <w:spacing w:after="0" w:line="12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of others;</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revenues, expenses, capital requirements, annual cash utilization, and our needs for additional capital or financing;</w:t>
      </w:r>
    </w:p>
    <w:p>
      <w:pPr>
        <w:spacing w:after="0" w:line="19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or regulatory agreements, deferrals, approvals, and other decisions;</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liquidity needs to fund our operations or repay our recourse debt obligations;</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and projections regarding financial goals, including timing for achieving profitability or positive cash flow; and</w:t>
      </w:r>
    </w:p>
    <w:p>
      <w:pPr>
        <w:spacing w:after="0" w:line="19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technologies, and our industry.</w:t>
      </w:r>
    </w:p>
    <w:p>
      <w:pPr>
        <w:spacing w:after="0" w:line="18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II, Item 1A, some of which are summarized in the “Risk Factor Summary”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revise or correct any of these statements or to publicly announce the results of any such revisions to any forward-looking statements to reflect future events or developments, except as may be required by U.S. federal securities laws.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0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An investment in the Company involves risks. You should carefully read this entire report and consider the uncertainties and risks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in Part II,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spacing w:after="0" w:line="139"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since our inception and may never be profitable.</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in the future. If we are unable to raise capital if and when needed, we may need to adjust our operations.</w:t>
      </w:r>
    </w:p>
    <w:p>
      <w:pPr>
        <w:spacing w:after="0" w:line="198" w:lineRule="exact"/>
        <w:rPr>
          <w:rFonts w:ascii="Times New Roman" w:cs="Times New Roman" w:eastAsia="Times New Roman" w:hAnsi="Times New Roman"/>
          <w:sz w:val="18"/>
          <w:szCs w:val="18"/>
          <w:color w:val="auto"/>
        </w:rPr>
      </w:pPr>
    </w:p>
    <w:p>
      <w:pPr>
        <w:ind w:left="820" w:hanging="326"/>
        <w:spacing w:after="0" w:line="255" w:lineRule="auto"/>
        <w:tabs>
          <w:tab w:leader="none" w:pos="81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success depends upon our ability to manage our product candidate pipeline, advance our product candidates through the various stages of development, especially through the clinical trial process, and to receive and maintain regulatory approvals for the commercial sale of our product candidates.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withdraw approval for our products, or take other actions that could materially impact the cost, timing, and success of our planned development and commercialization strategies.</w:t>
      </w:r>
    </w:p>
    <w:p>
      <w:pPr>
        <w:spacing w:after="0" w:line="148" w:lineRule="exact"/>
        <w:rPr>
          <w:rFonts w:ascii="Times New Roman" w:cs="Times New Roman" w:eastAsia="Times New Roman" w:hAnsi="Times New Roman"/>
          <w:sz w:val="18"/>
          <w:szCs w:val="18"/>
          <w:i w:val="1"/>
          <w:iCs w:val="1"/>
          <w:color w:val="auto"/>
        </w:rPr>
      </w:pPr>
    </w:p>
    <w:p>
      <w:pPr>
        <w:ind w:left="820" w:right="80" w:hanging="326"/>
        <w:spacing w:after="0" w:line="258"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spacing w:after="0" w:line="142" w:lineRule="exact"/>
        <w:rPr>
          <w:rFonts w:ascii="Times New Roman" w:cs="Times New Roman" w:eastAsia="Times New Roman" w:hAnsi="Times New Roman"/>
          <w:sz w:val="18"/>
          <w:szCs w:val="18"/>
          <w:color w:val="auto"/>
        </w:rPr>
      </w:pPr>
    </w:p>
    <w:p>
      <w:pPr>
        <w:ind w:left="820" w:right="740" w:hanging="326"/>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additional financing or acceptable partnership arrangements if and when needed, we may be unable to complete the development and commercialization of our products and product candidates or continue operations.</w:t>
      </w:r>
    </w:p>
    <w:p>
      <w:pPr>
        <w:spacing w:after="0" w:line="134" w:lineRule="exact"/>
        <w:rPr>
          <w:rFonts w:ascii="Times New Roman" w:cs="Times New Roman" w:eastAsia="Times New Roman" w:hAnsi="Times New Roman"/>
          <w:sz w:val="18"/>
          <w:szCs w:val="18"/>
          <w:color w:val="auto"/>
        </w:rPr>
      </w:pPr>
    </w:p>
    <w:p>
      <w:pPr>
        <w:ind w:left="820" w:right="380" w:hanging="326"/>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U.S. Food and Drug Administration or comparable foreign regulatory authorities approve generic versions of any of our products that receive marketing approval, the sales of our products could be adversely affected.</w:t>
      </w:r>
    </w:p>
    <w:p>
      <w:pPr>
        <w:spacing w:after="0" w:line="121" w:lineRule="exact"/>
        <w:rPr>
          <w:rFonts w:ascii="Times New Roman" w:cs="Times New Roman" w:eastAsia="Times New Roman" w:hAnsi="Times New Roman"/>
          <w:sz w:val="18"/>
          <w:szCs w:val="18"/>
          <w:color w:val="auto"/>
        </w:rPr>
      </w:pPr>
    </w:p>
    <w:p>
      <w:pPr>
        <w:ind w:left="820" w:right="140" w:hanging="326"/>
        <w:spacing w:after="0" w:line="266"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viability of any approved product could be compromised if the product is less effective than expected, causes undesirable side effects that either were not previously identified or were worse than expected, or fails to achieve market acceptance by physicians, patients, third-party payors, health authorities, and others.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right="40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our or our partners’ commercialization efforts, methods, and strategies for our products or technologies will succeed, and our future revenue generation is uncertain.</w:t>
      </w:r>
    </w:p>
    <w:p>
      <w:pPr>
        <w:spacing w:after="0" w:line="134" w:lineRule="exact"/>
        <w:rPr>
          <w:rFonts w:ascii="Times New Roman" w:cs="Times New Roman" w:eastAsia="Times New Roman" w:hAnsi="Times New Roman"/>
          <w:sz w:val="18"/>
          <w:szCs w:val="18"/>
          <w:color w:val="auto"/>
        </w:rPr>
      </w:pPr>
    </w:p>
    <w:p>
      <w:pPr>
        <w:ind w:left="820" w:right="46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expanded, and may continue expanding, our development and regulatory capabilities and are implementing sales, marketing, and distribution capabilities, and as a result, we may encounter difficulties managing our growth, which could disrupt our operations.</w:t>
      </w:r>
    </w:p>
    <w:p>
      <w:pPr>
        <w:spacing w:after="0" w:line="121" w:lineRule="exact"/>
        <w:rPr>
          <w:rFonts w:ascii="Times New Roman" w:cs="Times New Roman" w:eastAsia="Times New Roman" w:hAnsi="Times New Roman"/>
          <w:sz w:val="18"/>
          <w:szCs w:val="18"/>
          <w:color w:val="auto"/>
        </w:rPr>
      </w:pPr>
    </w:p>
    <w:p>
      <w:pPr>
        <w:ind w:left="820" w:right="9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if we are unable to compete effectively, the demand for our products may be reduced. In addition, developments by others may render our products, product candidates, or technologies obsolete or noncompetitive.</w:t>
      </w:r>
    </w:p>
    <w:p>
      <w:pPr>
        <w:spacing w:after="0" w:line="121" w:lineRule="exact"/>
        <w:rPr>
          <w:rFonts w:ascii="Times New Roman" w:cs="Times New Roman" w:eastAsia="Times New Roman" w:hAnsi="Times New Roman"/>
          <w:sz w:val="18"/>
          <w:szCs w:val="18"/>
          <w:color w:val="auto"/>
        </w:rPr>
      </w:pPr>
    </w:p>
    <w:p>
      <w:pPr>
        <w:ind w:left="820" w:right="60" w:hanging="326"/>
        <w:spacing w:after="0" w:line="261"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or develop our product candidates.</w:t>
      </w:r>
    </w:p>
    <w:p>
      <w:pPr>
        <w:spacing w:after="0" w:line="152" w:lineRule="exact"/>
        <w:rPr>
          <w:rFonts w:ascii="Times New Roman" w:cs="Times New Roman" w:eastAsia="Times New Roman" w:hAnsi="Times New Roman"/>
          <w:sz w:val="18"/>
          <w:szCs w:val="18"/>
          <w:color w:val="auto"/>
        </w:rPr>
      </w:pPr>
    </w:p>
    <w:p>
      <w:pPr>
        <w:ind w:left="820" w:right="40" w:hanging="326"/>
        <w:spacing w:after="0" w:line="266"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adequately protect or enforce our intellectual property rights, the value of those rights would diminish. Legal proceedings to protect or enforce our patents, the patents of our partners, or our other intellectual property rights could be expensive, time consuming, and unsuccessful. If we fail to secure the rights to patents of others, this could adversely affect our business.</w:t>
      </w:r>
    </w:p>
    <w:p>
      <w:pPr>
        <w:spacing w:after="0" w:line="135"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 inherent risk of liability in the event that the use or misuse of our products or product candidates results in personal injury or death, and our product liability insurance coverage may be insufficient.</w:t>
      </w:r>
    </w:p>
    <w:p>
      <w:pPr>
        <w:spacing w:after="0" w:line="121" w:lineRule="exact"/>
        <w:rPr>
          <w:rFonts w:ascii="Times New Roman" w:cs="Times New Roman" w:eastAsia="Times New Roman" w:hAnsi="Times New Roman"/>
          <w:sz w:val="18"/>
          <w:szCs w:val="18"/>
          <w:color w:val="auto"/>
        </w:rPr>
      </w:pPr>
    </w:p>
    <w:p>
      <w:pPr>
        <w:ind w:left="820" w:right="42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reach milestones or to make annual minimum payments or otherwise breach our obligations under our license agreements, our licensors may terminate our agreements with them and/or seek additional remedies.</w:t>
      </w:r>
    </w:p>
    <w:p>
      <w:pPr>
        <w:spacing w:after="0" w:line="134" w:lineRule="exact"/>
        <w:rPr>
          <w:rFonts w:ascii="Times New Roman" w:cs="Times New Roman" w:eastAsia="Times New Roman" w:hAnsi="Times New Roman"/>
          <w:sz w:val="18"/>
          <w:szCs w:val="18"/>
          <w:color w:val="auto"/>
        </w:rPr>
      </w:pPr>
    </w:p>
    <w:p>
      <w:pPr>
        <w:ind w:left="820" w:right="60" w:hanging="326"/>
        <w:spacing w:after="0" w:line="261"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Pharmakon Loan Agreement (as defined below) contains conditions and restrictions that limit our flexibility in operating our business. We may be required to make a prepayment or repay our outstanding indebtedness under the Pharmakon Loan Agreement earlier than we expect if a prepayment event or an event of default occurs, including a material adverse change with respect to us, which could have a material adverse effect on our business.</w:t>
      </w:r>
    </w:p>
    <w:p>
      <w:pPr>
        <w:spacing w:after="0" w:line="139" w:lineRule="exact"/>
        <w:rPr>
          <w:rFonts w:ascii="Times New Roman" w:cs="Times New Roman" w:eastAsia="Times New Roman" w:hAnsi="Times New Roman"/>
          <w:sz w:val="18"/>
          <w:szCs w:val="18"/>
          <w:color w:val="auto"/>
        </w:rPr>
      </w:pPr>
    </w:p>
    <w:p>
      <w:pPr>
        <w:ind w:left="820" w:right="200" w:hanging="326"/>
        <w:spacing w:after="0" w:line="258"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of our business exposes us to business, legal, regulatory, political, operational, financial, and economic risks. For example, our actual or perceived failure to comply with European governmental laws and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4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facilities incur damage or power is lost for a significant length of time, our business will suffer.</w:t>
      </w:r>
    </w:p>
    <w:p>
      <w:pPr>
        <w:spacing w:after="0" w:line="19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incidents and related disruptions in our or our third-party vendors’ information technology systems could adversely affect our business.</w:t>
      </w:r>
    </w:p>
    <w:p>
      <w:pPr>
        <w:spacing w:after="0" w:line="184"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clinical development or commercialization plans and timelines, and access to capital could be adversely affected by unpredictable and unstable market and economic conditions.</w:t>
      </w:r>
    </w:p>
    <w:p>
      <w:pPr>
        <w:spacing w:after="0" w:line="121"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34"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strategic investments, partnerships, alliances, or divestitures could fail to meet our expectations and/or adversely affect our operating results and financial condition.</w:t>
      </w:r>
    </w:p>
    <w:p>
      <w:pPr>
        <w:spacing w:after="0" w:line="121"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principal stockholders hold a substantial amount of our common stock and may be able to influence significant corporate decisions, which may conflict with the interests of other stockholders.</w:t>
      </w:r>
    </w:p>
    <w:p>
      <w:pPr>
        <w:spacing w:after="0" w:line="121"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is likely to continue to be, highly volatile, which could cause the value of an investment in our common stock to decline significantly.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hanging="326"/>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may negatively impact the trading price of our common stock.</w:t>
      </w:r>
    </w:p>
    <w:p>
      <w:pPr>
        <w:spacing w:after="0" w:line="148" w:lineRule="exact"/>
        <w:rPr>
          <w:rFonts w:ascii="Times New Roman" w:cs="Times New Roman" w:eastAsia="Times New Roman" w:hAnsi="Times New Roman"/>
          <w:sz w:val="18"/>
          <w:szCs w:val="18"/>
          <w:color w:val="auto"/>
        </w:rPr>
      </w:pPr>
    </w:p>
    <w:p>
      <w:pPr>
        <w:ind w:left="820" w:hanging="326"/>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spacing w:after="0" w:line="13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legal proceedings, which could harm our reputation or result in other losses or unexpected expenditure of time and resources.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8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81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amounts, 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110,643</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278,344</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receivables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56,950</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28,683</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19,542</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495,966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inventory,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516,960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20,893</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102,882</w:t>
            </w:r>
          </w:p>
        </w:tc>
      </w:tr>
      <w:tr>
        <w:trPr>
          <w:trHeight w:val="256"/>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5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5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Royalty financing obligations</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23,565</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financing obligations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508,034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term loan</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303,231</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959,817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972,488</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75"/>
        </w:trPr>
        <w:tc>
          <w:tcPr>
            <w:tcW w:w="8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$0.01 par value; shares authorized - 5,000; no shares issued and outstanding at September 30,</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and December 31, 2023</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shares authorized - 450,000; shares issued and outstanding – 207,119 at</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 and 205,771 at December 31, 2023</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1,222,236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(1,743,245)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(1,681,159)</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(455,528)</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516,960</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2300" w:type="dxa"/>
            <w:vAlign w:val="bottom"/>
          </w:tcPr>
          <w:p>
            <w:pPr>
              <w:spacing w:after="0"/>
              <w:rPr>
                <w:sz w:val="24"/>
                <w:szCs w:val="24"/>
                <w:color w:val="auto"/>
              </w:rPr>
            </w:pPr>
          </w:p>
        </w:tc>
        <w:tc>
          <w:tcPr>
            <w:tcW w:w="456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60" w:type="dxa"/>
            <w:vAlign w:val="bottom"/>
            <w:gridSpan w:val="11"/>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LOSS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56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 Unaudited)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4"/>
                <w:szCs w:val="24"/>
                <w:color w:val="auto"/>
              </w:rPr>
            </w:pPr>
          </w:p>
        </w:tc>
        <w:tc>
          <w:tcPr>
            <w:tcW w:w="29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28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238,011</w:t>
            </w: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r>
      <w:tr>
        <w:trPr>
          <w:trHeight w:val="230"/>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146,514</w:t>
            </w:r>
          </w:p>
        </w:tc>
      </w:tr>
      <w:tr>
        <w:trPr>
          <w:trHeight w:val="229"/>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149,512</w:t>
            </w:r>
          </w:p>
        </w:tc>
      </w:tr>
      <w:tr>
        <w:trPr>
          <w:trHeight w:val="229"/>
        </w:trPr>
        <w:tc>
          <w:tcPr>
            <w:tcW w:w="3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Royalty</w:t>
            </w:r>
          </w:p>
        </w:tc>
        <w:tc>
          <w:tcPr>
            <w:tcW w:w="1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299,050</w:t>
            </w:r>
          </w:p>
        </w:tc>
      </w:tr>
      <w:tr>
        <w:trPr>
          <w:trHeight w:val="223"/>
        </w:trPr>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(61,039)</w:t>
            </w:r>
          </w:p>
        </w:tc>
      </w:tr>
      <w:tr>
        <w:trPr>
          <w:trHeight w:val="250"/>
        </w:trPr>
        <w:tc>
          <w:tcPr>
            <w:tcW w:w="128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9"/>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11,312</w:t>
            </w:r>
          </w:p>
        </w:tc>
      </w:tr>
      <w:tr>
        <w:trPr>
          <w:trHeight w:val="229"/>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(83,656)</w:t>
            </w:r>
          </w:p>
        </w:tc>
      </w:tr>
      <w:tr>
        <w:trPr>
          <w:trHeight w:val="230"/>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gains (losses), net</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29"/>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(29,019)</w:t>
            </w:r>
          </w:p>
        </w:tc>
      </w:tr>
      <w:tr>
        <w:trPr>
          <w:trHeight w:val="22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(35,819)</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(163,067)</w:t>
            </w:r>
          </w:p>
        </w:tc>
      </w:tr>
      <w:tr>
        <w:trPr>
          <w:trHeight w:val="229"/>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2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(164,808)</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Unrealized gain on available for sale investments</w:t>
            </w:r>
          </w:p>
        </w:tc>
        <w:tc>
          <w:tcPr>
            <w:tcW w:w="1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2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comprehensive loss</w:t>
            </w: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(164,034)</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189,644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(62,086)</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(164,808)</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Inventory obsolescence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39,127</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interest expense on royalty financing obligations and secured term loan and amortization of debt issuance costs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66,286</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premium/discount on investments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(6,814)</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29,019</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Receivables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Inventory</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(7,530)</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(36,678)</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r>
      <w:tr>
        <w:trPr>
          <w:trHeight w:val="18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(46,807)</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(86,223)</w:t>
            </w:r>
          </w:p>
        </w:tc>
      </w:tr>
      <w:tr>
        <w:trPr>
          <w:trHeight w:val="243"/>
        </w:trPr>
        <w:tc>
          <w:tcPr>
            <w:tcW w:w="8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Acquisitions of property and equipment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investments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(357,419)</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256,008</w:t>
            </w:r>
          </w:p>
        </w:tc>
      </w:tr>
      <w:tr>
        <w:trPr>
          <w:trHeight w:val="18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34,796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(103,025)</w:t>
            </w:r>
          </w:p>
        </w:tc>
      </w:tr>
      <w:tr>
        <w:trPr>
          <w:trHeight w:val="243"/>
        </w:trPr>
        <w:tc>
          <w:tcPr>
            <w:tcW w:w="8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proceeds from common stock issued under stock-based compensation plans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8,301</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issued to directors in lieu of cash retainer</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 taxes paid on stock-based awards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proceeds from Pharmakon Tranche A term loan</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Athyrium secured term loans principal</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(240,452)</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Prepayment and repayment fees on Athyrium secured term loans</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(21,261)</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debt issuance costs on Pharmakon Tranche A term loan</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(11,147)</w:t>
            </w:r>
          </w:p>
        </w:tc>
      </w:tr>
      <w:tr>
        <w:trPr>
          <w:trHeight w:val="196"/>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Principal payments on finance lease liabilities</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35,658</w:t>
            </w:r>
          </w:p>
        </w:tc>
      </w:tr>
      <w:tr>
        <w:trPr>
          <w:trHeight w:val="243"/>
        </w:trPr>
        <w:tc>
          <w:tcPr>
            <w:tcW w:w="8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on cash, cash equivalents, and restricted cash</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257"/>
        </w:trPr>
        <w:tc>
          <w:tcPr>
            <w:tcW w:w="81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cash, cash equivalents and restricted cash</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(153,750)</w:t>
            </w: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112,447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306,239</w:t>
            </w: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152,489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cash flow disclosure:</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interest</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17,151</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taxes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w:t>
            </w: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Taxes withheld on stock-based awards included in accrued expenses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w:t>
            </w:r>
          </w:p>
        </w:tc>
      </w:tr>
    </w:tbl>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2360" w:type="dxa"/>
            <w:vAlign w:val="bottom"/>
          </w:tcPr>
          <w:p>
            <w:pPr>
              <w:spacing w:after="0"/>
              <w:rPr>
                <w:sz w:val="24"/>
                <w:szCs w:val="24"/>
                <w:color w:val="auto"/>
              </w:rPr>
            </w:pPr>
          </w:p>
        </w:tc>
        <w:tc>
          <w:tcPr>
            <w:tcW w:w="3800" w:type="dxa"/>
            <w:vAlign w:val="bottom"/>
            <w:gridSpan w:val="8"/>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720" w:type="dxa"/>
            <w:vAlign w:val="bottom"/>
            <w:gridSpan w:val="1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DEFICIT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800" w:type="dxa"/>
            <w:vAlign w:val="bottom"/>
            <w:gridSpan w:val="8"/>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(In thousands, Unaudited)</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4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4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280" w:type="dxa"/>
            <w:vAlign w:val="bottom"/>
            <w:gridSpan w:val="3"/>
            <w:vMerge w:val="continue"/>
          </w:tcPr>
          <w:p>
            <w:pPr>
              <w:spacing w:after="0"/>
              <w:rPr>
                <w:sz w:val="13"/>
                <w:szCs w:val="13"/>
                <w:color w:val="auto"/>
              </w:rPr>
            </w:pPr>
          </w:p>
        </w:tc>
        <w:tc>
          <w:tcPr>
            <w:tcW w:w="12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205,771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1,222,236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(1,681,159)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(455,528)</w:t>
            </w:r>
          </w:p>
        </w:tc>
        <w:tc>
          <w:tcPr>
            <w:tcW w:w="0" w:type="dxa"/>
            <w:vAlign w:val="bottom"/>
          </w:tcPr>
          <w:p>
            <w:pPr>
              <w:spacing w:after="0"/>
              <w:rPr>
                <w:sz w:val="1"/>
                <w:szCs w:val="1"/>
                <w:color w:val="auto"/>
              </w:rPr>
            </w:pPr>
          </w:p>
        </w:tc>
      </w:tr>
      <w:tr>
        <w:trPr>
          <w:trHeight w:val="223"/>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5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withheld for taxes for vesting of</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6"/>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 sales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25"/>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shares to directors in lieu of cash</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retainer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206,347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1,237,537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(1,716,538)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(476,167)</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0" w:type="dxa"/>
            <w:vAlign w:val="bottom"/>
          </w:tcPr>
          <w:p>
            <w:pPr>
              <w:spacing w:after="0"/>
              <w:rPr>
                <w:sz w:val="1"/>
                <w:szCs w:val="1"/>
                <w:color w:val="auto"/>
              </w:rPr>
            </w:pPr>
          </w:p>
        </w:tc>
      </w:tr>
      <w:tr>
        <w:trPr>
          <w:trHeight w:val="230"/>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56"/>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5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shares to directors in lieu of cash</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(1,729,212)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(475,606)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tcBorders>
              <w:top w:val="single" w:sz="8" w:color="CCEEFF"/>
            </w:tcBorders>
            <w:gridSpan w:val="2"/>
            <w:vMerge w:val="continue"/>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(14,033)</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(14,033)</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56"/>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 sales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25"/>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shares to directors in lieu of cash</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17,249</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(1,743,245)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(468,563)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BIOCRYST PHARMACEUTICALS, INC. 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 (In thousands, 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44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3"/>
                <w:szCs w:val="13"/>
                <w:color w:val="auto"/>
              </w:rPr>
            </w:pPr>
          </w:p>
        </w:tc>
        <w:tc>
          <w:tcPr>
            <w:tcW w:w="24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280" w:type="dxa"/>
            <w:vAlign w:val="bottom"/>
            <w:gridSpan w:val="3"/>
            <w:vMerge w:val="continue"/>
          </w:tcPr>
          <w:p>
            <w:pPr>
              <w:spacing w:after="0"/>
              <w:rPr>
                <w:sz w:val="13"/>
                <w:szCs w:val="13"/>
                <w:color w:val="auto"/>
              </w:rPr>
            </w:pPr>
          </w:p>
        </w:tc>
        <w:tc>
          <w:tcPr>
            <w:tcW w:w="12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1,158,118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(1,454,620)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(294,597)</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57"/>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 sales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188,883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1,177,192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(1,507,953)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(328,287)</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(75,326)</w:t>
            </w:r>
          </w:p>
        </w:tc>
        <w:tc>
          <w:tcPr>
            <w:tcW w:w="0" w:type="dxa"/>
            <w:vAlign w:val="bottom"/>
          </w:tcPr>
          <w:p>
            <w:pPr>
              <w:spacing w:after="0"/>
              <w:rPr>
                <w:sz w:val="1"/>
                <w:szCs w:val="1"/>
                <w:color w:val="auto"/>
              </w:rPr>
            </w:pPr>
          </w:p>
        </w:tc>
      </w:tr>
      <w:tr>
        <w:trPr>
          <w:trHeight w:val="229"/>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257"/>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shares to directors in lieu of cash</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(388,713)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tcBorders>
              <w:top w:val="single" w:sz="8" w:color="CCEEFF"/>
            </w:tcBorders>
            <w:vMerge w:val="continue"/>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(36,149)</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(36,149)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56"/>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 sales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shares to directors in lieu of cash</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(1,619,428)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(410,986)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340" w:right="2660"/>
        <w:spacing w:after="0" w:line="265" w:lineRule="auto"/>
        <w:rPr>
          <w:sz w:val="20"/>
          <w:szCs w:val="20"/>
          <w:color w:val="auto"/>
        </w:rPr>
      </w:pPr>
      <w:r>
        <w:rPr>
          <w:rFonts w:ascii="Times New Roman" w:cs="Times New Roman" w:eastAsia="Times New Roman" w:hAnsi="Times New Roman"/>
          <w:sz w:val="18"/>
          <w:szCs w:val="18"/>
          <w:b w:val="1"/>
          <w:bCs w:val="1"/>
          <w:color w:val="auto"/>
        </w:rPr>
        <w:t>BIOCRYST PHARMACEUTICALS, INC. NOTES TO CONDENSED CONSOLIDATED FINANCIAL STATEMENTS (In thousands, except per share amounts) (Unaudited)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Significant Accounting Policies and Concentrations of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BioCryst Pharmaceuticals, Inc. (the “Company”) is a global biotechnology company with a deep commitment to improving the lives of people living with hereditary angioedema (“HAE”) and other rare diseases. The Company leverages its expertise in structure-guided drug design with the goal of developing first-in-class or best-in-class oral small-molecule and protein therapeutics to target difficult-to-treat diseases. The Company was founded in 1986 and incorporated in Delaware in 1991, and its headquarters is located in Durham, North Carolina. The Company integrates the disciplines of biology, crystallography, medicinal chemistry and computer modeling to discover and develop small molecule and protein therapeutics through the process known as structure-guided drug design.</w:t>
      </w:r>
    </w:p>
    <w:p>
      <w:pPr>
        <w:spacing w:after="0" w:line="16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Company’s marketed products include oral, once-daily ORLADEYO® for the prevention of HAE attacks and RAPIVAB® (peramivir injection) for the treatment of acute uncomplicated influenza in the United States. ORLADEYO has received regulatory approval in the United States and other global markets. The Company is commercializing ORLADEYO in each of these territories directly or through distributors, except in Japan where Torii Pharmaceutical Co., Ltd. (“Torii”), the Company’s collaborative partner, conducts certain commercialization activities with respect to ORLADEYO for the prevention of HAE attacks in exchange for certain royalty payments to the Company. In addition to its approval in the United States, peramivir injection has received regulatory approvals in Canada, Australia, Japan, Taiwan and Korea.</w:t>
      </w:r>
    </w:p>
    <w:p>
      <w:pPr>
        <w:spacing w:after="0" w:line="147"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Based on the Company’s expectations for revenue and operating expenses, the Company believes its financial resources available at September 30, 2024 will be sufficient to fund its operations for at least the next 12 months. The Company has sustained operating losses for the majority of its corporate history and expects that its total 2024 expenses (including stock-based compensation expense) will exceed its total 2024 revenues. The Company expects to continue to incur operating losses and negative cash flows until revenues reach a level sufficient to support ongoing operations. The Company’s liquidity needs will be largely determined by the success of operations in regard to the successful commercialization of its products and the progression of its product candidates in the future. The Company regularly evaluates other opportunities to fund future operations, including: (1) out-licensing rights to certain of its products or product candidates, pursuant to which the Company would receive cash milestone payments; (2)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its overhead structure; and/or (6) securing U.S. Government funding of its programs, including obtaining procurement contracts. The Company may, in the future, issue securities, including common stock, preferred stock, depositary shares, purchase contracts, warrants, debt securities and units, through private placement transactions or registered public offerings. The Company’s future liquidity needs, and ability to address those needs, will largely be determined by the success of its products and product candidates; the timing, scope and magnitude of its research and development and commercial expenses; and key developments and regulatory events and its decisions in the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transactions and balances among the consolidated entities have been eliminated from the condensed consolidated financial statements. The Company operates and manages its business in one operating segment.</w:t>
      </w:r>
    </w:p>
    <w:p>
      <w:pPr>
        <w:spacing w:after="0" w:line="13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condensed consolidated financial position, results of operations, and cash flows. There were no adjustments other than normal recurring adjustments. Certain prior year amounts have been reclassified to conform to the current year presentation.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486"/>
        <w:spacing w:after="0" w:line="281" w:lineRule="auto"/>
        <w:rPr>
          <w:sz w:val="20"/>
          <w:szCs w:val="20"/>
          <w:color w:val="auto"/>
        </w:rPr>
      </w:pPr>
      <w:r>
        <w:rPr>
          <w:rFonts w:ascii="Times New Roman" w:cs="Times New Roman" w:eastAsia="Times New Roman" w:hAnsi="Times New Roman"/>
          <w:sz w:val="17"/>
          <w:szCs w:val="17"/>
          <w:color w:val="auto"/>
        </w:rPr>
        <w:t>These financial statements should be read in conjunction with the financial statements for the fiscal year ended December 31, 2023 and the notes thereto included in the Company’s 2023 Annual Report on Form 10-K as filed with the U.S. Securities and Exchange Commission on February 27, 2024. Interim operating results are not necessarily indicative of operating results for the full fiscal year. The condensed consolidated balance sheet as of December 31, 2023 was derived from the audited consolidated financial statements included in the Company’s most recent Annual Report on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260"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revenues and expenses, and related disclosure of contingent assets and liabilities. Significant estimates in the Company’s condensed consolidated financial statements have been made relative to the calculation of net product sales, the ORLADEYO and Factor D inhibitors royalty financing obligations, inventory reserves, certain accruals, primarily related to the Company’s research and development expenses, the valuation of stock options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the following revenues for the three and nine months ended September 30, 2024 and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9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233,957</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Collaborative and other revenues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238,011</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43"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8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Company’s principal sources of product sales are sales of ORLADEYO, which the Company began shipping to patients in December 2020, and sales of peramivir (RAPIVAB/RAPIACTA/PERAMIFLU). In the United States, the Company generally ships ORLADEYO directly to patients through a single specialty pharmacy, which is considered its customer. In the European Union, United Kingdom, Canada, Latin America, and elsewhere, the Company sells ORLADEYO to specialty distributors as well as to hospitals and pharmacies, which collectively are considered its customers.</w:t>
      </w:r>
    </w:p>
    <w:p>
      <w:pPr>
        <w:spacing w:after="0" w:line="139"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revenue for sales when its customers obtain control of the product, which generally occurs upon delivery. For ORLADEYO, the Company classifies payments to its specialty pharmacy customer for certain services provided by this customer as selling, general and administrative expenses to the extent such services provided are determined to be distinct from the sale of ORLADEYO.</w:t>
      </w:r>
    </w:p>
    <w:p>
      <w:pPr>
        <w:spacing w:after="0" w:line="14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co-payment assistance programs and (iv) product returns. These reserves are based on the amounts earned or to be claimed on the related sales and are classified as reductions of accounts receivable or as a current liability. Overall, these reserves reflect the Company’s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60"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Government and Managed Care Rebates</w:t>
      </w:r>
      <w:r>
        <w:rPr>
          <w:rFonts w:ascii="Times New Roman" w:cs="Times New Roman" w:eastAsia="Times New Roman" w:hAnsi="Times New Roman"/>
          <w:sz w:val="18"/>
          <w:szCs w:val="18"/>
          <w:color w:val="auto"/>
        </w:rPr>
        <w:t>. The Company contracts with government agencies and managed care organizations or,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These reserves are recorded in the same period in which the revenue is recognized, resulting in a reduction of product revenue and the establishment of a current liability. The Company estimates the rebates that it will provide to third-party payors based upon (i) the Company’s contracts with these third-party payors, (ii) the government mandated discounts applicable to government-funded programs, (iii) a range of possible outcomes that are probability-weighted for the estimated payor mix, and (iv) product distribution information obtained from the Company’s specialty pharmacy.</w:t>
      </w:r>
    </w:p>
    <w:p>
      <w:pPr>
        <w:spacing w:after="0" w:line="142"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discounts that occur when certain contracted customers, pharmacy benefit managers, insurance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purchase directly from the Company’s specialty pharmacy. These customers purchase the Company’s product under contracts negotiated between them and the Company’s specialty pharmacy. The specialty pharmacy, in turn, charges back to the Company the difference between the price that the specialty pharmacy paid and the negotiated price paid by the contracted customers, which may be higher or lower than the specialty pharmacy’s purchase price with the Company. The Company estimates chargebacks and adjusts gross product revenues and establishes a current liability based on the estimates at the time revenues are recognized.</w:t>
      </w:r>
    </w:p>
    <w:p>
      <w:pPr>
        <w:spacing w:after="0" w:line="142"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Co-payment assistance and patient assistance programs</w:t>
      </w:r>
      <w:r>
        <w:rPr>
          <w:rFonts w:ascii="Times New Roman" w:cs="Times New Roman" w:eastAsia="Times New Roman" w:hAnsi="Times New Roman"/>
          <w:sz w:val="18"/>
          <w:szCs w:val="18"/>
          <w:color w:val="auto"/>
        </w:rPr>
        <w:t>. 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Based upon the terms of the program and co-payment assistance utilization reports received from the specialty pharmacy, the Company is able to estimate the co-payment assistance amounts, which are recorded in the same period in which the related revenue is recognized, resulting in a reduction of product revenue.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spacing w:after="0" w:line="155"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The Company does not provide contractual return rights to its customers, except in instances where the product is damaged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and Other Revenues</w:t>
      </w:r>
    </w:p>
    <w:p>
      <w:pPr>
        <w:spacing w:after="0" w:line="187"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Company has collaboration and license agreements with a number of third parties. The Company’s primary sources of revenue from these collaborative and other research and development arrangements are license, service and royalty revenues.</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spacing w:after="0" w:line="13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6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 generally considers cash equivalents to be all cash held in commercial checking accounts, money market accounts, or investments in debt instruments and certificates of deposit with maturities of three months or less at the time of purchase. The carrying value of cash and cash equivalents approximates fair value due to the short-term nature of these items.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Total restricted cash was $2,223 and $1,804 as of September 30, 2024 and December 31, 2023, respectively, and primarily consisted of $1,410 and $1,493 as of September 30, 2024 and December 31, 2023, respectively, for a letter of credit the Company is required to maintain associated with its Birmingham lease. The letter of credit associated with the Birmingham lease of $1,410 is reflected within other assets on the Condensed Consolidated Balance Sheets as of September 30,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02"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Government and government agency securities, money market and mutual fund investments, certificates of deposits, municipal and corporate notes and bonds, and commercial paper, among others. The Company’s investment policy requires it to purchase high-quality marketable securities with a maximum individual maturity of three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Generally, the Company’s investments are not collateralized. The Company has not realized any significant losses from its investments.</w:t>
      </w:r>
    </w:p>
    <w:p>
      <w:pPr>
        <w:spacing w:after="0" w:line="14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Available-for-sale investments are reported at fair value at each balance sheet date, and include any unrealized holding gains and losses in accumulated other comprehensive income, unless an unrealized loss is considered to be other than temporary, in which case the unrealized loss is charged to operations. The Company reviews its investments for other than temporary declines in fair value below cost basis at the end of each reporting period and whenever events or changes in circumstances indicate that the carrying amount of an asset may not be recoverable. Factors considered to determine whether an unrealized loss is temporary include whether a decline in fair value below the amortized cost basis is due to credit-related factors or non-credit-related factors, the financial condition and near-term prospects of the Company, and the Company’s intent and ability to hold the investment to allow for an anticipated recovery in fair value. A credit-related impairment is recognized as an allowance on the balance sheet with a corresponding adjustment to earnings. Any impairment that is not credit-related is recognized in other comprehensive income, net of applicable taxes unless deemed other than temporary. Realized gains and losses are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reflected in interest and other income in the Condensed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on the Condensed Consolidated Balance Sheets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4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Assets measured at fair value on a recurring basis include investments (See “</w:t>
      </w:r>
      <w:r>
        <w:rPr>
          <w:rFonts w:ascii="Times New Roman" w:cs="Times New Roman" w:eastAsia="Times New Roman" w:hAnsi="Times New Roman"/>
          <w:sz w:val="18"/>
          <w:szCs w:val="18"/>
          <w:i w:val="1"/>
          <w:iCs w:val="1"/>
          <w:color w:val="auto"/>
        </w:rPr>
        <w:t>Note 3—Investments</w:t>
      </w:r>
      <w:r>
        <w:rPr>
          <w:rFonts w:ascii="Times New Roman" w:cs="Times New Roman" w:eastAsia="Times New Roman" w:hAnsi="Times New Roman"/>
          <w:sz w:val="18"/>
          <w:szCs w:val="18"/>
          <w:color w:val="auto"/>
        </w:rPr>
        <w:t>”). There were no liabilities measured at fair value on a recurring basis as of September 30, 2024 and December 31, 2023. The carrying amounts reflected in the Condensed Consolidated Balance Sheets for cash and cash equivalents, trade receivables, prepaid expenses and other current assets, accounts payable and accrued expenses approximate their fair values due to the short-term nature of these assets and liabilities.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18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majority of the Company’s trade receivables arise from product sales and primarily represent amounts due from its specialty pharmacy customer in the United States and other third-party distributors, hospitals and pharmacies in the European Union, United Kingdom and elsewhere and have standard payment terms that generally require payment within 30 to 90 days.</w:t>
      </w:r>
    </w:p>
    <w:p>
      <w:pPr>
        <w:spacing w:after="0" w:line="13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Receivables from collaborations are recorded for amounts due to the Company related to royalty receivables from the Company’s partners, including Shionogi &amp; Co., Ltd., Green Cross, and Torii (See “</w:t>
      </w:r>
      <w:r>
        <w:rPr>
          <w:rFonts w:ascii="Times New Roman" w:cs="Times New Roman" w:eastAsia="Times New Roman" w:hAnsi="Times New Roman"/>
          <w:sz w:val="18"/>
          <w:szCs w:val="18"/>
          <w:i w:val="1"/>
          <w:iCs w:val="1"/>
          <w:color w:val="auto"/>
        </w:rPr>
        <w:t>Note 11—Collaborative and Other Relationships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 off against the reserve.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inventory primarily relates to ORLADEYO. Additionally, the Company’s inventory includes peramivir.</w:t>
      </w:r>
    </w:p>
    <w:p>
      <w:pPr>
        <w:spacing w:after="0" w:line="19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Company values its inventory at the lower of cost or estimated net realizable value. The Company determines the cost of its inventory on a first-in, first-out (FIFO) basis. Raw materials and work-in-process include all inventory costs prior to packaging and labeling, including raw material, active product ingredient, and the drug product. Finished goods include packaged and labeled products. The Company classifies inventory as long-term when consumption or sale of the inventory is not expected to occur within 12 months from the balance sheet date.</w:t>
      </w:r>
    </w:p>
    <w:p>
      <w:pPr>
        <w:spacing w:after="0" w:line="13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Company’s inventory is subject to expiration dating. At each reporting date, the Company evaluates the carrying value of its inventory and provides valuation reserves for any estimated obsolete, short-dated or unmarketable inventory. In addition, the Company may experience spoilage of its raw materials and supplies. The Company’s determination that a valuation reserve might be required, in addition to the quantification of such reserve, requires it to utilize significant judgment.</w:t>
      </w:r>
    </w:p>
    <w:p>
      <w:pPr>
        <w:spacing w:after="0" w:line="13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Company expenses costs related to the production of inventory as research and development expenses in the period incurred until such time it is believed that future economic benefit is expected to be recognized, which generally is reliant upon receipt of regulatory approval. Upon regulatory approval, the Company capitalizes subsequent costs related to the production of inventory.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0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computed using the straight-line method over the estimated useful lives of the assets. Computer equipment and office equipment is depreciated over a life of three years. Laboratory equipment, software, and furniture and fixtures are depreciated over a life of five years. Leasehold improvements are amortized over their estimated useful lives or the expected lease term, whichever is less.</w:t>
      </w:r>
    </w:p>
    <w:p>
      <w:pPr>
        <w:spacing w:after="0" w:line="13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02"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The Company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which can include assumptions such as expected patient enrollment, site activation and estimated project duration. The Company periodically confirms the accuracy of its estimates with the service providers and makes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w:t>
      </w:r>
    </w:p>
    <w:p>
      <w:pPr>
        <w:spacing w:after="0" w:line="14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If the Company underestimates or overestimates the level of these costs, actual expenses could differ from such estimates. As of September 30, 2024 and December 31, 2023, the carrying value of accrued expenses approximates their fair value due to their short-term settlement.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02"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Cost of product sales includes the cost of producing and distributing inventory that is related to product revenue during the respective period, including freight. In addition, shipping and handling costs for product shipments are recorded as incurred. Finally, cost of product sales may also include costs related to excess or obsolete inventory adjustment charges.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Company’s research and development costs are expensed when incurred. Research and development expenses include all direct and indirect development costs related to the development of the Company’s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as well as termination fees and other commitments associated with discontinued programs. Most of the Company’s manufacturing and clinical and preclinical studies are performed by third-party CROs. Costs for studies performed by CROs are accrued by the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Company over the service periods specified in the contracts, and estimates are adjusted based upon the Company’s ongoing review of the level of services actually performed.</w:t>
      </w:r>
    </w:p>
    <w:p>
      <w:pPr>
        <w:spacing w:after="0" w:line="135"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Additionally, the Company has license agreements with third parties, such as Albert Einstein College of Medicine of Yeshiva University, Industrial Research, Ltd., and the University of Alabama at Birmingham (“UAB”), which require fees related to sublicense agreements. The Company accrues sublicense expenses as incurred.</w:t>
      </w:r>
    </w:p>
    <w:p>
      <w:pPr>
        <w:spacing w:after="0" w:line="13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 groups its research and development expenses into two major categories: direct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the Company’s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the Company’s research and development efforts. These costs apply to work on non-active product candidates and the Company’s discovery research efforts.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2"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are primarily comprised of compensation and benefits associated with sales and marketing, finance, human resources, legal, information technology and other administrative personnel. Additionally, selling, general and administrative expenses are comprised of market research, marketing, advertising and legal expenses, including patent costs, licenses and other general and administrative costs.</w:t>
      </w:r>
    </w:p>
    <w:p>
      <w:pPr>
        <w:spacing w:after="0" w:line="135"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All patent related costs are expensed to selling, general and administrative expenses when incurred as recoverability of such expenditures is uncertain.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leases certain assets, under operating and finance leases, which consist of real estate leases, laboratory equipment leases and office equipment leases as of September 30, 2024. The Company accounts for lease obligations in accordance with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a lessee to recognize a right-of-use asset and a lease liability on its balance sheet for most leases.</w:t>
      </w:r>
    </w:p>
    <w:p>
      <w:pPr>
        <w:spacing w:after="0" w:line="135"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Certain of the Company’s operating leases provide for renewal options, which can vary by lease. The right-of-use asset and lease liabilities on the Company’s Condensed Consolidated Balance Sheets represent payments over the lease term, which includes renewal options for certain real estate leases that the Company is likely to exercise. As part of the Company’s assessment of the lease term, the Company elected the hindsight practical expedient, which allows companies to use current knowledge and expectations when determining the likelihood to extend lease options. Certain operating leases include rent escalation provisions, which the Company recognizes as expense on a straight-line basis. Lease expense for leases with an initial term of twelve months or less was not material.</w:t>
      </w:r>
    </w:p>
    <w:p>
      <w:pPr>
        <w:spacing w:after="0" w:line="147"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discount rate used in the calculation of the Company’s right-of-use asset and lease liability was determined based on the stated rate within each contract when available, or the Company’s collateralized borrowing rate from lending institutions.</w:t>
      </w:r>
    </w:p>
    <w:p>
      <w:pPr>
        <w:spacing w:after="0" w:line="13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has not made any residual value guarantees related to its leases; therefore, the Company has no corresponding liability recorded on its Condensed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All share-based payments, including grants of stock option awards and restricted stock unit awards, are recognized in the Company’s Condensed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The Company utilizes the Black-Scholes option-pricing model to value its stock option awards and recognize compensation expense on a straight-line basis over the vesting periods. The Company reduces stock-based compensation expense for estimated forfeitures. The estimation of share-based payment awards that will ultimately vest requires judgment, and to the extent actual results or updated estimates differ from the Company’s current estimates, such</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amounts will be recorded as a cumulative adjustment in the period estimates are revised. In addition, the Company has outstanding performance-based stock options and restricted stock units for which no compensation expense is recognized until “performance” is deemed to have occurred. Significant management judgment is also required in determining estimates of future stock price volatility to be used in the valuation of the options. Actual results, and future changes in estimates, may differ substantially from the Company’s current estimates.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Deferred Financing Costs and Royalty Financing Obligations</w:t>
      </w:r>
    </w:p>
    <w:p>
      <w:pPr>
        <w:spacing w:after="0" w:line="187" w:lineRule="exact"/>
        <w:rPr>
          <w:sz w:val="20"/>
          <w:szCs w:val="20"/>
          <w:color w:val="auto"/>
        </w:rPr>
      </w:pPr>
    </w:p>
    <w:p>
      <w:pPr>
        <w:jc w:val="both"/>
        <w:ind w:right="140" w:firstLine="486"/>
        <w:spacing w:after="0" w:line="267" w:lineRule="auto"/>
        <w:rPr>
          <w:sz w:val="20"/>
          <w:szCs w:val="20"/>
          <w:color w:val="auto"/>
        </w:rPr>
      </w:pPr>
      <w:r>
        <w:rPr>
          <w:rFonts w:ascii="Times New Roman" w:cs="Times New Roman" w:eastAsia="Times New Roman" w:hAnsi="Times New Roman"/>
          <w:sz w:val="18"/>
          <w:szCs w:val="18"/>
          <w:color w:val="auto"/>
        </w:rPr>
        <w:t>Interest expense primarily relates to the royalty financing obligations (see “</w:t>
      </w:r>
      <w:r>
        <w:rPr>
          <w:rFonts w:ascii="Times New Roman" w:cs="Times New Roman" w:eastAsia="Times New Roman" w:hAnsi="Times New Roman"/>
          <w:sz w:val="18"/>
          <w:szCs w:val="18"/>
          <w:i w:val="1"/>
          <w:iCs w:val="1"/>
          <w:color w:val="auto"/>
        </w:rPr>
        <w:t>Note 6—Royalty Financing Obligations</w:t>
      </w:r>
      <w:r>
        <w:rPr>
          <w:rFonts w:ascii="Times New Roman" w:cs="Times New Roman" w:eastAsia="Times New Roman" w:hAnsi="Times New Roman"/>
          <w:sz w:val="18"/>
          <w:szCs w:val="18"/>
          <w:color w:val="auto"/>
        </w:rPr>
        <w:t>”) and the term loan borrowings under the Pharmakon Loan Agreement (see “</w:t>
      </w:r>
      <w:r>
        <w:rPr>
          <w:rFonts w:ascii="Times New Roman" w:cs="Times New Roman" w:eastAsia="Times New Roman" w:hAnsi="Times New Roman"/>
          <w:sz w:val="18"/>
          <w:szCs w:val="18"/>
          <w:i w:val="1"/>
          <w:iCs w:val="1"/>
          <w:color w:val="auto"/>
        </w:rPr>
        <w:t>Note 7—Deb</w:t>
      </w:r>
      <w:r>
        <w:rPr>
          <w:rFonts w:ascii="Times New Roman" w:cs="Times New Roman" w:eastAsia="Times New Roman" w:hAnsi="Times New Roman"/>
          <w:sz w:val="18"/>
          <w:szCs w:val="18"/>
          <w:color w:val="auto"/>
        </w:rPr>
        <w:t xml:space="preserve">t”) during the nine months ended September 30, 2024 and to the secured term loan borrowings under the Athyrium Credit Agreement (see </w:t>
      </w:r>
      <w:r>
        <w:rPr>
          <w:rFonts w:ascii="Times New Roman" w:cs="Times New Roman" w:eastAsia="Times New Roman" w:hAnsi="Times New Roman"/>
          <w:sz w:val="18"/>
          <w:szCs w:val="18"/>
          <w:i w:val="1"/>
          <w:iCs w:val="1"/>
          <w:color w:val="auto"/>
        </w:rPr>
        <w:t>Note 7—Deb</w:t>
      </w:r>
      <w:r>
        <w:rPr>
          <w:rFonts w:ascii="Times New Roman" w:cs="Times New Roman" w:eastAsia="Times New Roman" w:hAnsi="Times New Roman"/>
          <w:sz w:val="18"/>
          <w:szCs w:val="18"/>
          <w:color w:val="auto"/>
        </w:rPr>
        <w:t>t”) during the nine months ended September 30, 2023.</w:t>
      </w:r>
    </w:p>
    <w:p>
      <w:pPr>
        <w:spacing w:after="0" w:line="135"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Costs directly associated with the borrowings have been capitalized and are netted against the corresponding debt liabilities on the Condensed Consolidated Balance Sheets. These costs are being amortized to interest expense over the terms of the corresponding borrowings using the effective interest rate method. When utilizing the effective interest method, in periods in which payment-in-kind (“PIK”) interest was designated and added to the outstanding principal balance of the borrowing, the amortization of the deferred debt fees and issuance costs was accretive.</w:t>
      </w:r>
    </w:p>
    <w:p>
      <w:pPr>
        <w:spacing w:after="0" w:line="15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royalty financing obligations are eligible to be repaid based on royalties from net sales of ORLADEYO and BCX10013.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 The Company imputes interest on the carrying value of each of the royalty financing obligations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4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U.S. GAAP. Significant management judgment is required in determining the Company’s provision for income taxes, deferred tax assets and liabilities and any valuation allowance recorded against net deferred tax assets. The Company has recorded a valuation allowance against substantially all potential tax assets, due to uncertainties in its ability to utilize deferred tax assets, primarily consisting of certain net operating losses carried forward, before they expire. The valuation allowance is based on estimates of taxable income in each of the jurisdictions in which the Company operates and the period over which its deferred tax assets will be recoverable.</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Beginning in fiscal year 2021, the Company began accruing for U.S. state taxes and foreign income taxes as a result of increased nexus in both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and foreign jurisdictions where historically the Company had no presence.</w:t>
      </w:r>
    </w:p>
    <w:p>
      <w:pPr>
        <w:spacing w:after="0" w:line="16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starting in 2022, amendments to Section 174 of the Internal Revenue Code of 1986, as amended (“IRC”), no longer permit an immediate deduction for research and development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fifteen in the case of development conducted on foreign soil.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89"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The functional currency of each of the Company’s foreign subsidiaries is primarily the local currency of the country in which the subsidiary operates. The Company’s asset and liability accounts are translated at the current exchange rate as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of the balance sheet date. Revenue and expense accounts are translated at the average exchange rate over the period. Adjustments resulting from the translation of the financial statements of the Company’s foreign subsidiaries into U.S. dollars are accumulated as a separate component of stockholders’ equity within accumulated other comprehensive income. Gains or losses resulting from transactions denominated in foreign currencies are included in foreign currency losses, net, within the Condensed Consolidated Statement of Comprehensive Loss.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8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Basic net loss per share is based upon the weighted average number of common shares outstanding during the period. Diluted net loss per share is computed by dividing net loss by the weighted average number of common shares outstanding during the period, after giving consideration to the dilutive effect of potentially dilutive common shares. The Company has generated a net loss in all periods presented, so the diluted net loss per share is equivalent to basic net loss per share for all periods presented herein because common equivalent shares from unexercised stock options, warrants and common shares expected to be issued under the Company’s equity compensation plans would be anti-dilutive. The Company excluded the following potential common shares, presented based on amounts outstanding as of September 30, 2024 and September 30, 2023, from the computation of diluted net loss per share attributable to common stockholders for the three and nine months ended September 30, 2024 and 2023 because including them would have had an anti-dilutive effect: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1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 awards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21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44,441</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54,772</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18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income and recorded as interest and other income on the Condensed Consolidated Statements of Comprehensive Loss. There were no realized gains or losses reclassified out of accumulated other comprehensive income for the three and nine months ended September 30, 2024 and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 and Other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primary source of revenue and cash flow are the sales of ORLADEYO in the United States and other global markets.</w:t>
      </w:r>
    </w:p>
    <w:p>
      <w:pPr>
        <w:spacing w:after="0" w:line="198"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ORLADEYO is distributed through an arrangement with a single specialty pharmacy in the United States, which represents the substantial majority of the ORLADEYO net product sales. The specialty pharmacy subsequently sells ORLADEYO to its customers (pharmacy benefit managers, insurance companies, government programs and group purchasing organizations) and dispenses product to patients. The specialty pharmacy’s inability or unwillingness to continue these distribution activities could adversely impact the Company’s business, results of operations and financial condition.</w:t>
      </w:r>
    </w:p>
    <w:p>
      <w:pPr>
        <w:spacing w:after="0" w:line="13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Company is distributing ORLADEYO in other global markets directly or through distributors, except in Japan where Torii, the Company’s collaborative partner, has the exclusive right to commercialize ORLADEYO.</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Third-Party Manufacturing and Distribution Concentration</w:t>
      </w:r>
    </w:p>
    <w:p>
      <w:pPr>
        <w:spacing w:after="0" w:line="200"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Company relies on a single source manufacturer for active pharmaceutical ingredient and finished drug product manufacturing of product candidates in development and on a single specialty pharmacy for distribution of approved drug product in the United States. Delays or disruption in the manufacture or distribution of any product could adversely impact the future procurement stockpiling of the Company’s commercial product, commercial revenue and product candidates.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8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Cash equivalents and investments are financial instruments that potentially subject the Company to concentration of risk to the extent recorded on the Condensed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spacing w:after="0" w:line="156"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Company’s receivables from sales of ORLADEYO are primarily due from one customer, resulting in a concentration of credit risk. Sales of ORLADEYO from the Company to the specialty pharmacy usually only occur once an order of product has been received by the specialty pharmacy from one of its customers, which include pharmacy benefit managers, insurance companies, government programs and group purchasing organizations.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new accounting pronouncements adopted by the Company during the nine months ended September 30,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(“ASU”) 2023-07, Segment Reporting (Topic 280): Improvements to Reportable Segment Disclosures, which expands reportable segment disclosure requirements on an annual and interim basis, primarily through enhanced disclosures about significant segment expenses. ASU 2023-07 requires disclosure of the title and position of the chief operating decision maker and requires that public entities with a single reportable segment provide all disclosures required by this update and existing disclosures in Topic 280. ASU 2023-07 is effective for fiscal years beginning after December 15, 2023, and interim periods within fiscal years beginning after December 15, 2024, with early adoption permitted. Retrospective application is required to all prior periods presented in the financial statements. The Company expects adoption of this ASU will result in additional disclosures but does not expect it will have a material effect on the Company’s consolidated balance sheet, statement of comprehensive loss, or statement of cash flows.</w:t>
      </w:r>
    </w:p>
    <w:p>
      <w:pPr>
        <w:spacing w:after="0" w:line="15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expects adoption of this ASU will result in additional disclosures but does not expect it will have a material effect on the Company’s consolidated balance sheet, statement of comprehensive loss, or statement of cash flows.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05"/>
        </w:trPr>
        <w:tc>
          <w:tcPr>
            <w:tcW w:w="10080" w:type="dxa"/>
            <w:vAlign w:val="bottom"/>
            <w:gridSpan w:val="11"/>
          </w:tcPr>
          <w:p>
            <w:pPr>
              <w:ind w:left="500"/>
              <w:spacing w:after="0"/>
              <w:rPr>
                <w:sz w:val="20"/>
                <w:szCs w:val="20"/>
                <w:color w:val="auto"/>
              </w:rPr>
            </w:pPr>
            <w:r>
              <w:rPr>
                <w:rFonts w:ascii="Times New Roman" w:cs="Times New Roman" w:eastAsia="Times New Roman" w:hAnsi="Times New Roman"/>
                <w:sz w:val="18"/>
                <w:szCs w:val="18"/>
                <w:color w:val="auto"/>
              </w:rPr>
              <w:t>The Company recorded the following revenues for the three and nine months ended September 30, 2024 and 2023 (in thousands):</w:t>
            </w:r>
          </w:p>
        </w:tc>
        <w:tc>
          <w:tcPr>
            <w:tcW w:w="1160" w:type="dxa"/>
            <w:vAlign w:val="bottom"/>
          </w:tcPr>
          <w:p>
            <w:pPr>
              <w:spacing w:after="0"/>
              <w:rPr>
                <w:sz w:val="24"/>
                <w:szCs w:val="24"/>
                <w:color w:val="auto"/>
              </w:rPr>
            </w:pPr>
          </w:p>
        </w:tc>
      </w:tr>
      <w:tr>
        <w:trPr>
          <w:trHeight w:val="432"/>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4"/>
                <w:szCs w:val="24"/>
                <w:color w:val="auto"/>
              </w:rPr>
            </w:pPr>
          </w:p>
        </w:tc>
        <w:tc>
          <w:tcPr>
            <w:tcW w:w="29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ORLADEYO:</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278,987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208,934</w:t>
            </w:r>
          </w:p>
        </w:tc>
      </w:tr>
      <w:tr>
        <w:trPr>
          <w:trHeight w:val="22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of U.S.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26,173</w:t>
            </w: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ORLADEYO</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85,684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235,107</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238,011</w:t>
            </w:r>
          </w:p>
        </w:tc>
      </w:tr>
      <w:tr>
        <w:trPr>
          <w:trHeight w:val="21"/>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ORLADEYO revenues represent total revenues from product sales, collaborative revenues and royalties. Other revenues primarily relate to the Company’s product sales and royalties for peramivir.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Investments</w:t>
      </w:r>
    </w:p>
    <w:p>
      <w:pPr>
        <w:spacing w:after="0" w:line="20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from the sale of an asset or paid to transfer a liability in an orderly transaction between market participants. Fair value is determined based on observable and unobservable inputs. Observable inputs reflect readily obtainable data from independent sources, while unobservable inputs reflect certain market assumptions. As a basis for considering such assumptions, U.S. GAAP establishes a three-tier value hierarchy, which prioritizes the inputs used to develop the assumptions and for measuring fair value as follows: (Level 1) observable inputs such as quoted prices in active markets for identical assets; (Level 2) inputs other than the quoted prices in active markets that are observable either directly or indirectly; and (Level 3) unobservable inputs for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15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measured at fair value on a recurring basis consist of fixed income investments. These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Assets measured at fair value on a recurring basis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Quoted Price in</w:t>
            </w:r>
          </w:p>
        </w:tc>
        <w:tc>
          <w:tcPr>
            <w:tcW w:w="140" w:type="dxa"/>
            <w:vAlign w:val="bottom"/>
          </w:tcPr>
          <w:p>
            <w:pPr>
              <w:spacing w:after="0"/>
              <w:rPr>
                <w:sz w:val="14"/>
                <w:szCs w:val="14"/>
                <w:color w:val="auto"/>
              </w:rPr>
            </w:pPr>
          </w:p>
        </w:tc>
        <w:tc>
          <w:tcPr>
            <w:tcW w:w="16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5"/>
                <w:szCs w:val="15"/>
                <w:color w:val="auto"/>
              </w:rPr>
            </w:pPr>
          </w:p>
        </w:tc>
        <w:tc>
          <w:tcPr>
            <w:tcW w:w="16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80" w:type="dxa"/>
            <w:vAlign w:val="bottom"/>
          </w:tcPr>
          <w:p>
            <w:pPr>
              <w:spacing w:after="0"/>
              <w:rPr>
                <w:sz w:val="15"/>
                <w:szCs w:val="15"/>
                <w:color w:val="auto"/>
              </w:rPr>
            </w:pPr>
          </w:p>
        </w:tc>
        <w:tc>
          <w:tcPr>
            <w:tcW w:w="16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80" w:type="dxa"/>
            <w:vAlign w:val="bottom"/>
          </w:tcPr>
          <w:p>
            <w:pPr>
              <w:spacing w:after="0"/>
              <w:rPr>
                <w:sz w:val="15"/>
                <w:szCs w:val="15"/>
                <w:color w:val="auto"/>
              </w:rPr>
            </w:pPr>
          </w:p>
        </w:tc>
        <w:tc>
          <w:tcPr>
            <w:tcW w:w="13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40" w:type="dxa"/>
            <w:vAlign w:val="bottom"/>
          </w:tcPr>
          <w:p>
            <w:pPr>
              <w:spacing w:after="0"/>
              <w:rPr>
                <w:sz w:val="21"/>
                <w:szCs w:val="21"/>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38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of U.S. Government and its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252,598</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252,598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Quoted Price in</w:t>
            </w:r>
          </w:p>
        </w:tc>
        <w:tc>
          <w:tcPr>
            <w:tcW w:w="140" w:type="dxa"/>
            <w:vAlign w:val="bottom"/>
          </w:tcPr>
          <w:p>
            <w:pPr>
              <w:spacing w:after="0"/>
              <w:rPr>
                <w:sz w:val="15"/>
                <w:szCs w:val="15"/>
                <w:color w:val="auto"/>
              </w:rPr>
            </w:pPr>
          </w:p>
        </w:tc>
        <w:tc>
          <w:tcPr>
            <w:tcW w:w="166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5"/>
                <w:szCs w:val="15"/>
                <w:color w:val="auto"/>
              </w:rPr>
            </w:pPr>
          </w:p>
        </w:tc>
        <w:tc>
          <w:tcPr>
            <w:tcW w:w="162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6"/>
                <w:szCs w:val="16"/>
                <w:color w:val="auto"/>
              </w:rPr>
            </w:pPr>
          </w:p>
        </w:tc>
        <w:tc>
          <w:tcPr>
            <w:tcW w:w="166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80" w:type="dxa"/>
            <w:vAlign w:val="bottom"/>
          </w:tcPr>
          <w:p>
            <w:pPr>
              <w:spacing w:after="0"/>
              <w:rPr>
                <w:sz w:val="16"/>
                <w:szCs w:val="16"/>
                <w:color w:val="auto"/>
              </w:rPr>
            </w:pPr>
          </w:p>
        </w:tc>
        <w:tc>
          <w:tcPr>
            <w:tcW w:w="13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40" w:type="dxa"/>
            <w:vAlign w:val="bottom"/>
          </w:tcPr>
          <w:p>
            <w:pPr>
              <w:spacing w:after="0"/>
              <w:rPr>
                <w:sz w:val="19"/>
                <w:szCs w:val="19"/>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3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of U.S. Government and its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277,358</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the Company had no securities in an unrealized loss position.</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fair value of the Company’s investments by type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60" w:type="dxa"/>
            <w:vAlign w:val="bottom"/>
          </w:tcPr>
          <w:p>
            <w:pPr>
              <w:spacing w:after="0"/>
              <w:rPr>
                <w:sz w:val="14"/>
                <w:szCs w:val="14"/>
                <w:color w:val="auto"/>
              </w:rPr>
            </w:pPr>
          </w:p>
        </w:tc>
        <w:tc>
          <w:tcPr>
            <w:tcW w:w="12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Accrued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4"/>
                <w:szCs w:val="14"/>
                <w:color w:val="auto"/>
              </w:rPr>
            </w:pP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5"/>
                <w:szCs w:val="15"/>
                <w:color w:val="auto"/>
              </w:rPr>
            </w:pPr>
          </w:p>
        </w:tc>
        <w:tc>
          <w:tcPr>
            <w:tcW w:w="13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60" w:type="dxa"/>
            <w:vAlign w:val="bottom"/>
          </w:tcPr>
          <w:p>
            <w:pPr>
              <w:spacing w:after="0"/>
              <w:rPr>
                <w:sz w:val="21"/>
                <w:szCs w:val="21"/>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56"/>
        </w:trPr>
        <w:tc>
          <w:tcPr>
            <w:tcW w:w="35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Obligations of U.S. Government and its</w:t>
            </w:r>
          </w:p>
        </w:tc>
        <w:tc>
          <w:tcPr>
            <w:tcW w:w="2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252,598</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251,146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252,598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60" w:type="dxa"/>
            <w:vAlign w:val="bottom"/>
          </w:tcPr>
          <w:p>
            <w:pPr>
              <w:spacing w:after="0"/>
              <w:rPr>
                <w:sz w:val="14"/>
                <w:szCs w:val="14"/>
                <w:color w:val="auto"/>
              </w:rPr>
            </w:pPr>
          </w:p>
        </w:tc>
        <w:tc>
          <w:tcPr>
            <w:tcW w:w="12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Accrued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4"/>
                <w:szCs w:val="14"/>
                <w:color w:val="auto"/>
              </w:rPr>
            </w:pP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5"/>
                <w:szCs w:val="15"/>
                <w:color w:val="auto"/>
              </w:rPr>
            </w:pPr>
          </w:p>
        </w:tc>
        <w:tc>
          <w:tcPr>
            <w:tcW w:w="13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60" w:type="dxa"/>
            <w:vAlign w:val="bottom"/>
          </w:tcPr>
          <w:p>
            <w:pPr>
              <w:spacing w:after="0"/>
              <w:rPr>
                <w:sz w:val="21"/>
                <w:szCs w:val="21"/>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55"/>
        </w:trPr>
        <w:tc>
          <w:tcPr>
            <w:tcW w:w="35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Obligations of U.S. Government and its</w:t>
            </w:r>
          </w:p>
        </w:tc>
        <w:tc>
          <w:tcPr>
            <w:tcW w:w="2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277,358</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278,344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780" w:firstLine="486"/>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scheduled maturity for the Company’s investments at September 30, 2024 and December 31, 2023 (in thousands):</w:t>
      </w:r>
    </w:p>
    <w:tbl>
      <w:tblPr>
        <w:tblLayout w:type="fixed"/>
        <w:tblInd w:w="0" w:type="dxa"/>
        <w:tblCellMar>
          <w:top w:w="0" w:type="dxa"/>
          <w:left w:w="0" w:type="dxa"/>
          <w:bottom w:w="0" w:type="dxa"/>
          <w:right w:w="0" w:type="dxa"/>
        </w:tblCellMar>
      </w:tblPr>
      <w:tr>
        <w:trPr>
          <w:trHeight w:val="185"/>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line="185"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320" w:type="dxa"/>
            <w:vAlign w:val="bottom"/>
          </w:tcPr>
          <w:p>
            <w:pPr>
              <w:jc w:val="right"/>
              <w:ind w:right="130"/>
              <w:spacing w:after="0" w:line="185"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278,344</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Maturing after one year but less than two years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278,344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Trade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20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Receivables from product sales are recorded for amounts due to the Company related to sales of ORLADEYO and RAPIVAB. At September 30, 2024 and December 31, 2023, receivables, net of reserves, related to sales of ORLADEYO were $71,046 and $54,149, respectively. At September 30, 2024 and December 31, 2023, receivables related to sales of RAPIVAB were $410 and $505,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w:t>
            </w: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05"/>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Receivables from collaborations were as follows (in thousands):</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66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66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Billed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Unbilled</w:t>
            </w: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receivables from partners</w:t>
            </w: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receivables from collaborators</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20"/>
        </w:trPr>
        <w:tc>
          <w:tcPr>
            <w:tcW w:w="66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66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Billed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Unbilled</w:t>
            </w: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receivables from partners</w:t>
            </w: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0"/>
        </w:trPr>
        <w:tc>
          <w:tcPr>
            <w:tcW w:w="6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Inventory</w:t>
      </w:r>
    </w:p>
    <w:p>
      <w:pPr>
        <w:spacing w:after="0" w:line="18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the Company’s inventory primarily related to ORLADEYO. Inventory also included peramivir, which is primarily manufactured for the Company’s partners.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Company’s inventory consisted of the following (in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03"/>
        </w:trPr>
        <w:tc>
          <w:tcPr>
            <w:tcW w:w="8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r>
      <w:tr>
        <w:trPr>
          <w:trHeight w:val="22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28,683</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Royalty Financing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ORLADEYO and Factor D Inhibitors</w:t>
      </w:r>
    </w:p>
    <w:p>
      <w:pPr>
        <w:spacing w:after="0" w:line="18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(the “2020 RPI Royalty Sale”).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w:t>
      </w:r>
    </w:p>
    <w:p>
      <w:pPr>
        <w:spacing w:after="0" w:line="162"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w:t>
      </w:r>
    </w:p>
    <w:p>
      <w:pPr>
        <w:spacing w:after="0" w:line="143"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sold to OMERS the right to receive certain royalty payments from the Company for a purchase price of an additional $150,000 in cash.</w:t>
      </w:r>
    </w:p>
    <w:p>
      <w:pPr>
        <w:spacing w:after="0" w:line="198"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(i) 3.0% of proceeds received by the Company on annual net sales of up to $150,000 in the Other Markets and (ii) 2.0% of proceeds received by the Company on annual net sales between $150,000 and $230,000 in the Other Markets. No royalty payments are payable on annual net sales above $230,000 in the Other Markets.</w:t>
      </w:r>
    </w:p>
    <w:p>
      <w:pPr>
        <w:spacing w:after="0" w:line="14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Under the 2021 RPI Royalty Purchase Agreement, RPI is also entitled to receive tiered, sales-based royalties on net product sales of BCX10013 in an amount equal to: (i) 3.0% of worldwide aggregate annual net sales up to $1,500,000 and (ii) 2.0% of worldwide aggregate annual net sales between $1,500,000 and $3,000,000. No royalty payments are payable on annual net sales above $3,000,000. RPI is also entitled to receive tiered profit share amounts of up to 3.0% from certain other permitted sales in certain other markets. On August 5, 2024, the Company announced that it plans to discontinue development of BCX10013.</w:t>
      </w:r>
    </w:p>
    <w:p>
      <w:pPr>
        <w:spacing w:after="0" w:line="14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royalties payable under the 2021 RPI Royalty Purchase Agreement are in addition to the royalties payable to RPI under the 2020 RPI Royalty Purchase Agreement.</w:t>
      </w:r>
    </w:p>
    <w:p>
      <w:pPr>
        <w:spacing w:after="0" w:line="135"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Under the OMERS Royalty Purchase Agreement, for the calendar quarter beginning October 1, 2023, OMERS was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Commencing with the calendar quarter beginning January 1, 2024, OMERS is entitled to receive tiered, sales-based royalties on Direct Sales in an amount equal to: (i) 10.0% of aggregate annual net sales of ORLADEYO for annual net sales up to $350,000 and (ii) 3.0% of annual net sales of ORLADEYO for annual net sales between $350,000 and $550,000 (with no royalty payments payable on annual Direct Sales over $550,000).</w:t>
      </w:r>
    </w:p>
    <w:p>
      <w:pPr>
        <w:spacing w:after="0" w:line="147"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w:t>
      </w:r>
    </w:p>
    <w:p>
      <w:pPr>
        <w:spacing w:after="0" w:line="14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is required to make payments to OMERS in respect of net sales or sublicense revenue in each calendar quarter from and after October 1, 2023. OMERS will no longer be entitled to receive any payments on the date in which aggregate payments actually received by OMERS equals 155.0% of the $150,000 purchase price.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transactions contemplated by each of the Royalty Purchase Agreements are referred to herein as the “Royalty Sales”.</w:t>
      </w:r>
    </w:p>
    <w:p>
      <w:pPr>
        <w:spacing w:after="0" w:line="185"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was permitted to be incurred under the terms of the Athyrium Credit Agreement (as defined in Note 7 herein) through its payoff and termination on April 17, 2023 or, subsequent to that date, the Pharmakon Loan Agreement (as defined in Note 7 herein), as applicable. See “</w:t>
      </w:r>
      <w:r>
        <w:rPr>
          <w:rFonts w:ascii="Times New Roman" w:cs="Times New Roman" w:eastAsia="Times New Roman" w:hAnsi="Times New Roman"/>
          <w:sz w:val="18"/>
          <w:szCs w:val="18"/>
          <w:i w:val="1"/>
          <w:iCs w:val="1"/>
          <w:color w:val="auto"/>
        </w:rPr>
        <w:t>Note 7—Debt</w:t>
      </w:r>
      <w:r>
        <w:rPr>
          <w:rFonts w:ascii="Times New Roman" w:cs="Times New Roman" w:eastAsia="Times New Roman" w:hAnsi="Times New Roman"/>
          <w:sz w:val="18"/>
          <w:szCs w:val="18"/>
          <w:color w:val="auto"/>
        </w:rPr>
        <w:t>” for further details on the Athyrium Credit Agreement and the Pharmakon Loan Agreement. The restrictions under the Royalty Purchase Agreements on the ability of the Company or any of its subsidiaries to incur indebtedness are eliminated after the achievement of certain specified milestones in the Royalty Purchase Agreements.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cash consideration obtained pursuant to the Royalty Purchase Agreements is recorded in “Royalty financing obligations” on the Company’s Condensed Consolidated Balance Sheets. The fair value for the royalty financing obligations at the time of the transactions was based on the Company’s estimates of future royalties expected to be paid to the counterparty over the life of the arrangement. The Company subsequently records the obligations at their carrying value using the effective interest method. As of September 30, 2024 and December 31, 2023, the carrying value of the royalty financing obligations under the Royalty Purchase Agreements approximated fair value and was measured based on the Company’s current estimates of future payments to RPI and OMERS over the lives of the agreements, which are considered Level 3 inputs. In order to amortize the royalty financing obligations,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The Company periodically assesses the amount and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materially different than its original estimates, the Company will prospectively adjust the amortization of the royalty financing obligations and the effective interest rate. On a quarterly basis, the Company assesses the projected royalty payments relative to the projected interest accretion for the next twelve months to determine if the royalty liability balance is reduced relative to the current outstanding liability, which would signify a repayment of the principal. In such case of excess payments relative to interest accretion for the next twelve months, the excess payments are considered to be a short-term liability and classified within current liabilities on the Company’s Condensed Consolidated Balance Sheets.</w:t>
      </w:r>
    </w:p>
    <w:p>
      <w:pPr>
        <w:spacing w:after="0" w:line="165"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there were no significant changes to the amount and timing of expected royalties under the Royalty Purchase Agreements based on the Company’s latest forecasts related to its research and development programs and ORLADEYO sales.</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the royalty financing obligations activity for the three and nine months ended September 30, 2024 (in thousands) as well as the effective interest rate as of September 30,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2020 RPI</w:t>
            </w: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2021 RPI</w:t>
            </w:r>
          </w:p>
        </w:tc>
        <w:tc>
          <w:tcPr>
            <w:tcW w:w="2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OMERS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2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240" w:type="dxa"/>
            <w:vAlign w:val="bottom"/>
          </w:tcPr>
          <w:p>
            <w:pPr>
              <w:spacing w:after="0"/>
              <w:rPr>
                <w:sz w:val="23"/>
                <w:szCs w:val="23"/>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240" w:type="dxa"/>
            <w:vAlign w:val="bottom"/>
          </w:tcPr>
          <w:p>
            <w:pPr>
              <w:spacing w:after="0"/>
              <w:rPr>
                <w:sz w:val="23"/>
                <w:szCs w:val="2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320" w:type="dxa"/>
            <w:vAlign w:val="bottom"/>
          </w:tcPr>
          <w:p>
            <w:pPr>
              <w:spacing w:after="0"/>
              <w:rPr>
                <w:sz w:val="23"/>
                <w:szCs w:val="23"/>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174,480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185,345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171,774</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531,599</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 on Royalty financing obligations</w:t>
            </w: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14,187</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revenues paid and payable</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(6,691)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176,554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184,666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169,354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530,574</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on Royalty financing obligations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Royalty revenues paid and payable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(9,518)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(10,863)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177,093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183,843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162,697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523,633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Interest expense on Royalty financing obligations</w:t>
            </w: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tcBorders>
              <w:top w:val="single" w:sz="8" w:color="CCEEFF"/>
            </w:tcBorders>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9,964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4,055</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14,019</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revenues paid and payable</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(11,717)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176,787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182,953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155,035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514,775</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Royalty financing obligations liabilities and the associated deferred issuance costs are amortized using the effective interest method over the term of the arrangement.</w:t>
      </w:r>
    </w:p>
    <w:p>
      <w:pPr>
        <w:spacing w:after="0" w:line="135"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Concurrent with entering into the 2021 RPI Royalty Purchase Agreement, the Company and RPI entered into a Common Stock Purchase Agreement pursuant to which the Company sold common stock to RPI for a premium of $4,269. This premium has been deferred and is being amortized through interest expense using the effective interest method over the term of the applicable arrangement.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Pharmakon Loan Agreement</w:t>
      </w:r>
    </w:p>
    <w:p>
      <w:pPr>
        <w:spacing w:after="0" w:line="18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On April 17, 2023, the Company entered into a $450,000 Loan Agreement (the “Pharmakon Loan Agreement”) with BioPharma Credit Investments V (Master) LP and BPCR Limited Partnership, as lenders, and BioPharma Credit PLC, as collateral agent for the lenders. Certain of the Company’s wholly-owned subsidiaries are guarantors to the Pharmakon Loan Agreement. The Pharmakon Loan Agreement provides for an initial term loan in the principal amount of $300,000 (the “Tranche A Loan”) funded on April 17, 2023 (the “Tranche A Closing Date”). The Company used a portion of the proceeds from the Tranche A Loan to repay the $241,787 of outstanding indebtedness (principal and interest due as of April 17, 2023) under the then-existing Athyrium Credit Agreement (defined below) and to pay associated transaction costs and fees, and used the remaining net proceeds of $25,805 for other general corporate purposes.</w:t>
      </w:r>
    </w:p>
    <w:p>
      <w:pPr>
        <w:spacing w:after="0" w:line="14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Pharmakon Loan Agreement also provided for three additional term loan tranches, at the Company’s option, in principal amounts of $50,000 each (each a “Subsequent Tranche Loan” and, collectively with the Tranche A Loan, the “Pharmakon Term Loans” and each, a “Pharmakon Term Loan”), which could have been requested on or prior to September 30, 2024. The Company did not request any Subsequent Tranche Loans. The maturity date of the Pharmakon Loan Agreement is April 17, 2028 (the “Maturity Date”), the fifth anniversary of the Tranche A Closing Date.</w:t>
      </w:r>
    </w:p>
    <w:p>
      <w:pPr>
        <w:spacing w:after="0" w:line="153" w:lineRule="exact"/>
        <w:rPr>
          <w:sz w:val="20"/>
          <w:szCs w:val="20"/>
          <w:color w:val="auto"/>
        </w:rPr>
      </w:pPr>
    </w:p>
    <w:p>
      <w:pPr>
        <w:ind w:firstLine="486"/>
        <w:spacing w:after="0" w:line="274" w:lineRule="auto"/>
        <w:rPr>
          <w:sz w:val="20"/>
          <w:szCs w:val="20"/>
          <w:color w:val="auto"/>
        </w:rPr>
      </w:pPr>
      <w:r>
        <w:rPr>
          <w:rFonts w:ascii="Times New Roman" w:cs="Times New Roman" w:eastAsia="Times New Roman" w:hAnsi="Times New Roman"/>
          <w:sz w:val="17"/>
          <w:szCs w:val="17"/>
          <w:color w:val="auto"/>
        </w:rPr>
        <w:t>The Pharmakon Loan Agreement provides for quarterly interest-only payments until the Maturity Date, with the unpaid principal amount of the outstanding Pharmakon Term Loans due and payable on the Maturity Date. During the first 18 months following the Tranche A Closing Date, the Company had the option to make a portion of the applicable interest payment on the Tranche A Loan in-kind (a “Pharmakon PIK Interest Payment”) by capitalizing as principal up to 50% of the amount of interest accrued on the Tranche A Loan during the applicable interest period. The Pharmakon Term Loans will bear interest at a rate equal to the three-month Secured Overnight Financing Rate (“SOFR”) rate, which shall be no less than 1.75%, plus 7.00%, per annum or, for each interest period in which a Pharmakon PIK Interest Payment is made, with respect to the Tranche A Loan, SOFR plus 7.25%, per annum.</w:t>
      </w:r>
    </w:p>
    <w:p>
      <w:pPr>
        <w:spacing w:after="0" w:line="13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Tranche A Loan accrued interest at an effective interest rate of 13.34% and 13.24% for the three months ended September 30, 2024 and 2023, respectively.</w:t>
      </w:r>
    </w:p>
    <w:p>
      <w:pPr>
        <w:spacing w:after="0" w:line="12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Company is required to make a mandatory prepayment of the Pharmakon Term Loans (i) upon the occurrence of a change of control and (ii) prior to any repayment of any convertible debt that the Company may issue in the future, subject to certain exceptions. The Company may make voluntary prepayments in whole or in part, in minimum $25,000 increments. Prepayments are subject to a prepayment premium equal to, (i) with respect to any prepayment made prior to the second anniversary of the applicable Pharmakon Term Loan borrowing date, the sum of (1) 3.00% of the principal amount of the Pharmakon Term Loan being prepaid plus (2) the aggregate amount of all interest that would have accrued on the principal amount of the Pharmakon Term Loan being prepaid from the date of prepayment through and including the second anniversary of the date of the borrowing of such Pharmakon Term Loan; (ii) with respect to any prepayment made on or after the second anniversary and prior to the third anniversary of the applicable Pharmakon Term Loan borrowing date, 3.00% of the principal amount of the Pharmakon Term Loan being prepaid; (iii) with respect to any prepayment made on or after the third anniversary and prior to the fourth anniversary of the applicable Pharmakon Term Loan, 2.00% of the principal amount of the Pharmakon Term Loan being prepaid; and (iv) with respect to any prepayment made on or after the fourth anniversary of the applicable Pharmakon Term Loan borrowing date and before the Maturity Date, 1.00% of the principal amount of the Pharmakon Term Loan being prepaid. In addition, if the Company had requested any Subsequent Tranche Loans, certain funding fees would have been required to be paid.</w:t>
      </w:r>
    </w:p>
    <w:p>
      <w:pPr>
        <w:spacing w:after="0" w:line="163"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The Pharmakon Loan Agreement also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among other customary covenants, in each case subject to certain exceptions.</w:t>
      </w:r>
    </w:p>
    <w:p>
      <w:pPr>
        <w:spacing w:after="0" w:line="147"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A failure to comply with the covenants in the Pharmakon Loan Agreement, or an occurrence of any other event of default, could permit the lenders under the Pharmakon Loan Agreement to declare the borrowings thereunder, together with accrued interest and fees, and any applicable prepayment premium, to be immediately due and payable.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Pharmakon Loan Agreement are secured by a security interest in, subject to certain exceptions, substantially all of the Company’s assets.</w:t>
      </w:r>
    </w:p>
    <w:p>
      <w:pPr>
        <w:spacing w:after="0" w:line="13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As of September 30, 2024, the Company had total borrowings of $300,000 under the Pharmakon Loan Agreement. Interest expense on the Tranche A Loan for the three and nine months ended September 30, 2024 was $10,201 and $30,283, respectively. As allowable under the Pharmakon Loan Agreement, the Company designated and accounted for 50% of the quarterly interest payments for each of the three months ended March 31, 2024 and June 30, 2024 as a Pharmakon PIK Interest Payment and the total amount of $10,041 has been added to the outstanding principal balance of the borrowing. The Company did not elect to account for 50% of the quarterly interest payment for the three months ended September 30, 2024 as a Pharmakon PIK Interest Payment. The remaining 50% of the total quarterly interest payments for the three months ended March 31, 2024 and June 30, 2024 and the full quarterly interest payment for the three months ended September 30, 2024 totaling $20,242 have been paid at the end of each quarterly period. As of September 30, 2024, borrowings, including the Pharmakon PIK Interest Payments, totaled $323,704.</w:t>
      </w:r>
    </w:p>
    <w:p>
      <w:pPr>
        <w:spacing w:after="0" w:line="15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As of September 30, 2023, the Company had total borrowings of $300,000 under the Pharmakon Loan Agreement. Interest expense on the Tranche A Loan for the three and nine months ended September 30, 2023 was $9,702 and $17,350, respectively. As allowable under the Pharmakon Loan Agreement, the Company designated and accounted for 50% of the quarterly interest payments for the nine months ended September 30, 2023 as a Pharmakon PIK Interest Payment and the total amount of $8,675 was added to the outstanding principal balance of the borrowing. The remaining 50% of the total quarterly interest payments of $8,675 was paid at the end of each quarterly period. As of September 30, 2023, borrowings, including the Pharmakon PIK Interest Payments, totaled $308,675.</w:t>
      </w:r>
    </w:p>
    <w:p>
      <w:pPr>
        <w:spacing w:after="0" w:line="147"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the debt approximates its carrying value based on prevailing interest rates as of the balance sheet date and is considered as Level 2 in the fair value hierarchy.</w:t>
      </w:r>
    </w:p>
    <w:p>
      <w:pPr>
        <w:spacing w:after="0" w:line="135"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Incurred debt fees and issuance costs associated with the Tranche A Loan under the Pharmakon Loan Agreement totaled $11,147 and have been deferred and are being amortized as interest expense on an effective interest rate method over the remaining term of the Tranche A Loan. Deferred financing amortization of $511 and $1,061 was recognized for the three and nine months ended September 30, 2024, respectively. Deferred financing amortization of $230 and $467 was recognized for the three and nine months ended September 30, 2023,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Athyrium Credit Agreement</w:t>
      </w:r>
    </w:p>
    <w:p>
      <w:pPr>
        <w:spacing w:after="0" w:line="18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On December 7, 2020, the Company entered into a $200,000 Credit Agreement (the “Athyrium Credit Agreement”) with Athyrium Opportunities III Co-Invest 1 LP (“Athyrium”), as lender and as administrative agent for the lenders. Certain of the Company’s direct and indirect subsidiaries were guarantors to the Athyrium Credit Agreement. The Athyrium Credit Agreement provided for an initial term loan in the principal amount of $125,000 (the “Term A Loan”), which was received by the Company on December 7, 2020 and is recorded in “Secured term loan” on the Company’s balance sheet. The Company used a portion of the proceeds from the Term A Loan to repay $43,298 of outstanding indebtedness, including accrued interest, under its prior credit facility with MidCap Financial Trust.</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Athyrium Credit Agreement also provided for two additional term loans, at the Company’s option, in the respective principal amounts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$25,000 (the “Term B Loan”) and $50,000 (the “Term C Loan” and, collectively with the Term A Loan and the Term B Loan, the “Athyrium Term Loans”).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Having achieved all required revenue-based milestones, the Company exercised its option to draw upon the additional funding available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Athyrium Credit Agreement, borrowing the principal amounts of $25,000 under the Term B Loan and $50,000 under the Term C Loan. Both the Term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and the Term C Loan were funded on July 29, 2022 in the aggregate principal amount of $75,000. The Term B Loan and the Term C Loan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all the provisions under the Athyrium Credit Agreement.</w:t>
      </w:r>
    </w:p>
    <w:p>
      <w:pPr>
        <w:spacing w:after="0" w:line="16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On November 19, 2021, the Company entered into an amendment to the Athyrium Credit Agreement to, among other things, (i) permit the Company to enter into the 2021 RPI Royalty Purchase Agreement, the OMERS Royalty Purchase Agreement, and the other definitive documentation related thereto and to perform its obligations thereunder; and (ii) require the Company to pay to Athyrium, for the account of the lenders, a make-whole premium plus certain fees set forth in the Athyrium Credit Agreement in the event that the Company prepaid or repaid, or was required to prepay or repay, voluntarily or pursuant to mandatory prepayment obligations under the Athyrium Credit Agreement (e.g., with the proceeds of certain asset sales, certain ORLADEYO out-licensing or royalty financing transactions (excluding the Royalty Sales), extraordinary receipts, debt issuances, or upon a change of control of the Company and specified other events, subject to certain exceptions), all of the then-outstanding Athyrium Term Loans, in each case, subject to certain exceptions set forth in the Athyrium Credit Agreement.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firstLine="486"/>
        <w:spacing w:after="0" w:line="269" w:lineRule="auto"/>
        <w:rPr>
          <w:sz w:val="20"/>
          <w:szCs w:val="20"/>
          <w:color w:val="auto"/>
        </w:rPr>
      </w:pPr>
      <w:r>
        <w:rPr>
          <w:rFonts w:ascii="Times New Roman" w:cs="Times New Roman" w:eastAsia="Times New Roman" w:hAnsi="Times New Roman"/>
          <w:sz w:val="17"/>
          <w:szCs w:val="17"/>
          <w:color w:val="auto"/>
        </w:rPr>
        <w:t>The Athyrium Credit Agreement provided for quarterly interest-only payments until the maturity date, with the unpaid principal amount of the outstanding Athyrium Term Loans due and payable on the maturity date. For each of the first eight full fiscal quarters following December 7, 2020, the Company had the option to make the applicable interest payment-in-kind (an “Athyrium PIK Interest Payment”) by capitalizing the entire amount of interest accrued during the applicable interest period with the unpaid original principal amount outstanding on the last day of such period. The Athyrium Term Loans accrued interest at a rate equal to the three-month LIBOR rate, which was no less than 1.75% and no more than 3.50% (“LIBOR”), plus</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8.25%, or for each interest period in which an Athyrium PIK Interest Payment was made, LIBOR plus 10.25%. The quarter ended December 31, 2022 was the last period eligible for the Athyrium PIK Interest Payment designation.</w:t>
      </w:r>
    </w:p>
    <w:p>
      <w:pPr>
        <w:spacing w:after="0" w:line="1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Quarterly interest payments under the Athyrium Credit Agreement for the nine months ended September 30, 2023 totaled $8,476. Deferred financing amortization of $1,069 was recognized for the nine months ended September 30, 2023.</w:t>
      </w:r>
    </w:p>
    <w:p>
      <w:pPr>
        <w:spacing w:after="0" w:line="12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On April 17, 2023, the outstanding principal of the Athyrium Term Loans, including the Athyrium PIK Interest Payments of $240,452 along with interest accrued of $1,335 for the first 17 days of the quarterly interest period ended June 30, 2023, was repaid with the funding received through the Pharmakon Loan Agreement.</w:t>
      </w:r>
    </w:p>
    <w:p>
      <w:pPr>
        <w:spacing w:after="0" w:line="13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accordance with the Athyrium Credit Agreement, upon the prepayment or repayment of all or any of the Athyrium Term Loans, the Company was obligated to pay an exit fee in an amount equal to 2.00% of the principal amount of the Athyrium Term Loans prepaid or repaid. In addition, each Athyrium Term Loan was subject to a 1.00% commitment fee at its respective borrowing date. As a result, the Company incurred prepayment and final payment fees of $17,261 upon repayment of the Athyrium Term Loans. Additionally, unamortized deferred financing costs of $11,758 associated with the Athyrium Term Loans were written off at the time of repayment. Collectively, the prepayment and final payment fees and unamortized deferred financing costs totaled $29,019 and are reflected as a one-time loss on extinguishment of debt on the Condensed Consolidated Statements of Comprehensive Loss for the nine months ended September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 Obligations</w:t>
      </w:r>
    </w:p>
    <w:p>
      <w:pPr>
        <w:spacing w:after="0" w:line="189" w:lineRule="exact"/>
        <w:rPr>
          <w:sz w:val="20"/>
          <w:szCs w:val="20"/>
          <w:color w:val="auto"/>
        </w:rPr>
      </w:pPr>
    </w:p>
    <w:p>
      <w:pPr>
        <w:jc w:val="both"/>
        <w:ind w:right="260" w:firstLine="486"/>
        <w:spacing w:after="0" w:line="266" w:lineRule="auto"/>
        <w:rPr>
          <w:sz w:val="20"/>
          <w:szCs w:val="20"/>
          <w:color w:val="auto"/>
        </w:rPr>
      </w:pPr>
      <w:r>
        <w:rPr>
          <w:rFonts w:ascii="Times New Roman" w:cs="Times New Roman" w:eastAsia="Times New Roman" w:hAnsi="Times New Roman"/>
          <w:sz w:val="18"/>
          <w:szCs w:val="18"/>
          <w:color w:val="auto"/>
        </w:rPr>
        <w:t>The Company leases certain assets under operating and finance leases, which consist of real estate leases, laboratory equipment leases and office equipment leases as of September 30, 2024. Renewal options for the Company’s real estate leases are three years in length and begin from 2025 through 2030.</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Lease expense under operating and finance leases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1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9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8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57"/>
        </w:trPr>
        <w:tc>
          <w:tcPr>
            <w:tcW w:w="4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48"/>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supplemental information related to leases was as follows:</w:t>
            </w:r>
          </w:p>
        </w:tc>
        <w:tc>
          <w:tcPr>
            <w:tcW w:w="2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6"/>
        </w:trPr>
        <w:tc>
          <w:tcPr>
            <w:tcW w:w="53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5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30"/>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560" w:type="dxa"/>
            <w:vAlign w:val="bottom"/>
          </w:tcPr>
          <w:p>
            <w:pPr>
              <w:spacing w:after="0"/>
              <w:rPr>
                <w:sz w:val="19"/>
                <w:szCs w:val="19"/>
                <w:color w:val="auto"/>
              </w:rPr>
            </w:pPr>
          </w:p>
        </w:tc>
        <w:tc>
          <w:tcPr>
            <w:tcW w:w="17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9.2 years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years</w:t>
            </w:r>
          </w:p>
        </w:tc>
      </w:tr>
      <w:tr>
        <w:trPr>
          <w:trHeight w:val="230"/>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5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2.6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years</w:t>
            </w: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4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10.88 %</w:t>
            </w:r>
          </w:p>
        </w:tc>
      </w:tr>
      <w:tr>
        <w:trPr>
          <w:trHeight w:val="234"/>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7.46 %</w:t>
            </w:r>
          </w:p>
        </w:tc>
      </w:tr>
      <w:tr>
        <w:trPr>
          <w:trHeight w:val="900"/>
        </w:trPr>
        <w:tc>
          <w:tcPr>
            <w:tcW w:w="5340" w:type="dxa"/>
            <w:vAlign w:val="bottom"/>
          </w:tcPr>
          <w:p>
            <w:pPr>
              <w:spacing w:after="0"/>
              <w:rPr>
                <w:sz w:val="24"/>
                <w:szCs w:val="24"/>
                <w:color w:val="auto"/>
              </w:rPr>
            </w:pPr>
          </w:p>
        </w:tc>
        <w:tc>
          <w:tcPr>
            <w:tcW w:w="256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23</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02"/>
        </w:trPr>
        <w:tc>
          <w:tcPr>
            <w:tcW w:w="534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presentation in the Condensed Consolidated Balance Sheets of the Company’s operating leases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5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5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504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0" w:type="dxa"/>
            <w:vAlign w:val="bottom"/>
          </w:tcPr>
          <w:p>
            <w:pPr>
              <w:spacing w:after="0"/>
              <w:rPr>
                <w:sz w:val="1"/>
                <w:szCs w:val="1"/>
                <w:color w:val="auto"/>
              </w:rPr>
            </w:pPr>
          </w:p>
        </w:tc>
      </w:tr>
      <w:tr>
        <w:trPr>
          <w:trHeight w:val="23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504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lease liabilities –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63"/>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lease liabilities – long-term liabilities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0" w:type="dxa"/>
            <w:vAlign w:val="bottom"/>
          </w:tcPr>
          <w:p>
            <w:pPr>
              <w:spacing w:after="0"/>
              <w:rPr>
                <w:sz w:val="1"/>
                <w:szCs w:val="1"/>
                <w:color w:val="auto"/>
              </w:rPr>
            </w:pPr>
          </w:p>
        </w:tc>
      </w:tr>
      <w:tr>
        <w:trPr>
          <w:trHeight w:val="243"/>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presentation in the Condensed Consolidated Balance Sheets of the Company’s finance leases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5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51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5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 assets, net</w:t>
            </w:r>
          </w:p>
        </w:tc>
        <w:tc>
          <w:tcPr>
            <w:tcW w:w="510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510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Finance lease liabilities –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63"/>
        </w:trPr>
        <w:tc>
          <w:tcPr>
            <w:tcW w:w="3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5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Finance lease liabilities – long-term liabilities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43"/>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5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Operating lease assets are recorded net of accumulated amortization of $5,781 and $4,794 as of September 30, 2024 and December 31, 2023, respectively. Finance lease assets are recorded net of accumulated amortization of $3,571 and $2,293 as of September 30, 2024 and December 31, 2023,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as of September 30, 2024 are as follows (in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180" w:type="dxa"/>
            <w:vAlign w:val="bottom"/>
          </w:tcPr>
          <w:p>
            <w:pPr>
              <w:spacing w:after="0"/>
              <w:rPr>
                <w:sz w:val="22"/>
                <w:szCs w:val="22"/>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22"/>
                <w:szCs w:val="22"/>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0" w:type="dxa"/>
            <w:vAlign w:val="bottom"/>
          </w:tcPr>
          <w:p>
            <w:pPr>
              <w:spacing w:after="0"/>
              <w:rPr>
                <w:sz w:val="1"/>
                <w:szCs w:val="1"/>
                <w:color w:val="auto"/>
              </w:rPr>
            </w:pPr>
          </w:p>
        </w:tc>
      </w:tr>
      <w:tr>
        <w:trPr>
          <w:trHeight w:val="25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 obtained in exchange for finance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increase to operating lease assets due to remeasurement of 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18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On October 23, 2023, certain entities affiliated with Baker Bros. Advisors LP (the “Baker Entities”) net exercised the remaining balance of the pre-funded warrants held by such Baker Entities that were issued on November 21, 2019. Additionally, certain of the Baker Entities net exercised all of the pre-funded warrants that were issued on June 1, 2020. The exercises resulted in the issuance of 14,997 common shares. Following the exercises, there are no outstanding warrants.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 of Common Stock</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 (in thousands):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818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41,032</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future issuance under the Stock Incentive Plan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future issuance under the Inducement Equity Incentive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future issuance under the Employee Stock Purchase Plan</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reserved for future issuance</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63,666</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58,020</w:t>
            </w:r>
          </w:p>
        </w:tc>
        <w:tc>
          <w:tcPr>
            <w:tcW w:w="0" w:type="dxa"/>
            <w:vAlign w:val="bottom"/>
          </w:tcPr>
          <w:p>
            <w:pPr>
              <w:spacing w:after="0"/>
              <w:rPr>
                <w:sz w:val="1"/>
                <w:szCs w:val="1"/>
                <w:color w:val="auto"/>
              </w:rPr>
            </w:pPr>
          </w:p>
        </w:tc>
      </w:tr>
      <w:tr>
        <w:trPr>
          <w:trHeight w:val="21"/>
        </w:trPr>
        <w:tc>
          <w:tcPr>
            <w:tcW w:w="81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1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202"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22, 2024 and approved by the Company’s stockholders on June 12, 2024. The Inducement Plan was most recently amended and restated by the Company’s Board of Directors on October 26, 2023. The ESPP was most recently amended and restated by the Company’s Board of Directors on July 7, 2023.</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the following stock-based compensation expense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9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Plan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37,294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30,934</w:t>
            </w:r>
          </w:p>
        </w:tc>
      </w:tr>
      <w:tr>
        <w:trPr>
          <w:trHeight w:val="27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Plan</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39,127</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Policy</w:t>
      </w:r>
    </w:p>
    <w:p>
      <w:pPr>
        <w:spacing w:after="0" w:line="20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July 2024, the Company adopted the BioCryst Pharmaceuticals, Inc. Equity Award Retirement Policy (the “Retirement Policy”). The Retirement Policy provides for the continued vesting of certain unvested awards granted more than one year prior to the date of retirement according to the original vesting schedule of the award. Employees are eligible for the Retirement Policy upon meeting age, service, and notice period requirements and receipt of notice of their eligibility from the Company. The Company considered the adoption of the Retirement Policy to be a modification of existing awards under ASC Topic 718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modification did not result in any incremental compensation cost. However, the adoption of the Retirement Policy resulted in a new estimate of the requisite service period for certain awards. In connection with the adoption of the Retirement Policy, the Company accelerated the recognition of stock-based compensation expense of $4,090 during the three and nine months ended September 30,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Incentive Plan: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8"/>
                <w:szCs w:val="18"/>
                <w:color w:val="auto"/>
              </w:rPr>
            </w:pPr>
          </w:p>
        </w:tc>
        <w:tc>
          <w:tcPr>
            <w:tcW w:w="13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4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0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40" w:type="dxa"/>
            <w:vAlign w:val="bottom"/>
          </w:tcPr>
          <w:p>
            <w:pPr>
              <w:spacing w:after="0"/>
              <w:rPr>
                <w:sz w:val="15"/>
                <w:szCs w:val="15"/>
                <w:color w:val="auto"/>
              </w:rPr>
            </w:pPr>
          </w:p>
        </w:tc>
        <w:tc>
          <w:tcPr>
            <w:tcW w:w="13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1"/>
                <w:szCs w:val="21"/>
                <w:color w:val="auto"/>
              </w:rPr>
            </w:pPr>
          </w:p>
        </w:tc>
        <w:tc>
          <w:tcPr>
            <w:tcW w:w="11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40" w:type="dxa"/>
            <w:vAlign w:val="bottom"/>
          </w:tcPr>
          <w:p>
            <w:pPr>
              <w:spacing w:after="0"/>
              <w:rPr>
                <w:sz w:val="21"/>
                <w:szCs w:val="21"/>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 or 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23,568</w:t>
            </w: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20,530</w:t>
            </w:r>
          </w:p>
        </w:tc>
        <w:tc>
          <w:tcPr>
            <w:tcW w:w="10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7.88</w:t>
            </w:r>
          </w:p>
        </w:tc>
        <w:tc>
          <w:tcPr>
            <w:tcW w:w="1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29,732</w:t>
            </w:r>
          </w:p>
        </w:tc>
        <w:tc>
          <w:tcPr>
            <w:tcW w:w="0" w:type="dxa"/>
            <w:vAlign w:val="bottom"/>
          </w:tcPr>
          <w:p>
            <w:pPr>
              <w:spacing w:after="0"/>
              <w:rPr>
                <w:sz w:val="1"/>
                <w:szCs w:val="1"/>
                <w:color w:val="auto"/>
              </w:rPr>
            </w:pPr>
          </w:p>
        </w:tc>
      </w:tr>
      <w:tr>
        <w:trPr>
          <w:trHeight w:val="905"/>
        </w:trPr>
        <w:tc>
          <w:tcPr>
            <w:tcW w:w="5020" w:type="dxa"/>
            <w:vAlign w:val="bottom"/>
          </w:tcPr>
          <w:p>
            <w:pPr>
              <w:spacing w:after="0"/>
              <w:rPr>
                <w:sz w:val="24"/>
                <w:szCs w:val="24"/>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under the Incentive Plan:</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180" w:type="dxa"/>
            <w:vAlign w:val="bottom"/>
          </w:tcPr>
          <w:p>
            <w:pPr>
              <w:spacing w:after="0"/>
              <w:rPr>
                <w:sz w:val="24"/>
                <w:szCs w:val="24"/>
                <w:color w:val="auto"/>
              </w:rPr>
            </w:pPr>
          </w:p>
        </w:tc>
        <w:tc>
          <w:tcPr>
            <w:tcW w:w="1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41"/>
        </w:trPr>
        <w:tc>
          <w:tcPr>
            <w:tcW w:w="818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5"/>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For restricted stock unit awards granted under the Incentive Plan, the fair value of the awards is determined based on the market value of the Company’s shares on the grant date. The weighted average grant date fair value of these awards granted during the first nine months of 2024 and 2023 was $5.80 and $9.18, respectively. The fair value of the restricted stock unit awards is amortized to expense over the vesting periods using a straight-line expense attribution method.</w:t>
      </w:r>
    </w:p>
    <w:p>
      <w:pPr>
        <w:spacing w:after="0" w:line="13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total unrecognized compensation cost related to unvested restricted stock unit awards granted under the Incentive Plan was $26,370, which is expected to be recognized over a weighted average period of 1.2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Equity Incentive Plan</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Inducement Plan: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7"/>
                <w:szCs w:val="17"/>
                <w:color w:val="auto"/>
              </w:rPr>
            </w:pPr>
          </w:p>
        </w:tc>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00" w:type="dxa"/>
            <w:vAlign w:val="bottom"/>
          </w:tcPr>
          <w:p>
            <w:pPr>
              <w:spacing w:after="0"/>
              <w:rPr>
                <w:sz w:val="16"/>
                <w:szCs w:val="16"/>
                <w:color w:val="auto"/>
              </w:rPr>
            </w:pPr>
          </w:p>
        </w:tc>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00" w:type="dxa"/>
            <w:vAlign w:val="bottom"/>
          </w:tcPr>
          <w:p>
            <w:pPr>
              <w:spacing w:after="0"/>
              <w:rPr>
                <w:sz w:val="19"/>
                <w:szCs w:val="19"/>
                <w:color w:val="auto"/>
              </w:rPr>
            </w:pPr>
          </w:p>
        </w:tc>
        <w:tc>
          <w:tcPr>
            <w:tcW w:w="10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Pr>
          <w:p>
            <w:pPr>
              <w:spacing w:after="0"/>
              <w:rPr>
                <w:sz w:val="19"/>
                <w:szCs w:val="19"/>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 or 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58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ind w:left="1240"/>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0" w:type="dxa"/>
            <w:vAlign w:val="bottom"/>
          </w:tcPr>
          <w:p>
            <w:pPr>
              <w:spacing w:after="0" w:line="20" w:lineRule="exact"/>
              <w:rPr>
                <w:sz w:val="1"/>
                <w:szCs w:val="1"/>
                <w:color w:val="auto"/>
              </w:rPr>
            </w:pPr>
          </w:p>
        </w:tc>
      </w:tr>
      <w:tr>
        <w:trPr>
          <w:trHeight w:val="204"/>
        </w:trPr>
        <w:tc>
          <w:tcPr>
            <w:tcW w:w="502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3,089</w:t>
            </w:r>
          </w:p>
        </w:tc>
        <w:tc>
          <w:tcPr>
            <w:tcW w:w="100" w:type="dxa"/>
            <w:vAlign w:val="bottom"/>
          </w:tcPr>
          <w:p>
            <w:pPr>
              <w:spacing w:after="0"/>
              <w:rPr>
                <w:sz w:val="17"/>
                <w:szCs w:val="17"/>
                <w:color w:val="auto"/>
              </w:rPr>
            </w:pPr>
          </w:p>
        </w:tc>
        <w:tc>
          <w:tcPr>
            <w:tcW w:w="400" w:type="dxa"/>
            <w:vAlign w:val="bottom"/>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7.61</w:t>
            </w:r>
          </w:p>
        </w:tc>
        <w:tc>
          <w:tcPr>
            <w:tcW w:w="1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486"/>
        </w:trPr>
        <w:tc>
          <w:tcPr>
            <w:tcW w:w="70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under the Inducement Plan:</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9"/>
                <w:szCs w:val="19"/>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30, 2024</w:t>
            </w: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For restricted stock unit awards granted under the Inducement Plan, the fair value of the awards is determined based on the market value of the Company’s shares on the grant date. The weighted average grant date fair value of these awards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granted during the first nine months of 2024 and 2023 was $6.25 and $8.35, respectively. The fair value of the restricted stock unit awards is amortized to expense over the vesting periods using a straight-line expense attribution method.</w:t>
      </w:r>
    </w:p>
    <w:p>
      <w:pPr>
        <w:spacing w:after="0" w:line="135"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total unrecognized compensation cost related to unvested restricted stock unit awards granted under the Inducement Plan was $5,110, which is expected to be recognized over a weighted average period of 1.7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Assumptions for Stock Option Awards Granted to Employees and Directors under the Incentive and Inducement Plans</w:t>
      </w:r>
    </w:p>
    <w:p>
      <w:pPr>
        <w:spacing w:after="0" w:line="18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For stock option awards granted under the Incentive Plan and the Inducement Plan, the fair value is estimated on the date of grant using a Black-Scholes option pricing model and the assumptions noted below. The fair value of the stock option awards is amortized to expense over the vesting periods using a straight-line expense attribution method.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Incentive Plan</w:t>
      </w:r>
    </w:p>
    <w:p>
      <w:pPr>
        <w:spacing w:after="0" w:line="187"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assumptions used by the Company to value the stock option awards granted under the Incentive Plan during the nine months ended September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30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9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84.3 %</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6.40</w:t>
            </w:r>
          </w:p>
        </w:tc>
      </w:tr>
    </w:tbl>
    <w:p>
      <w:pPr>
        <w:spacing w:after="0" w:line="25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total unrecognized compensation cost related to unvested stock option awards granted under the Incentive Plan was $45,492, which is expected to be recognized over a weighted average period of 1.1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Equity Incentive Plan</w:t>
      </w:r>
    </w:p>
    <w:p>
      <w:pPr>
        <w:spacing w:after="0" w:line="187"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assumptions used by the Company to value the stock option awards granted under the Inducement Plan during the nine months ended September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30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9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83.8 %</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6.14</w:t>
            </w:r>
          </w:p>
        </w:tc>
      </w:tr>
    </w:tbl>
    <w:p>
      <w:pPr>
        <w:spacing w:after="0" w:line="252"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total unrecognized compensation cost related to unvested stock option awards granted under the Inducement Plan was $9,722, which is expected to be recognized over a weighted average period of 1.4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87"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Company has reserved a total of 7,975 shares of common stock to be purchased under the ESPP, of which 5,042 shares remain available for purchase as of September 30, 2024. During the nine months ended September 30, 2024 and September 30, 2023, the Company issued 412 and 338 shares under the ESPP,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Collaborative and Other Relationships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ORLADEYO</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Torii Pharmaceutical Co., Ltd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(“Torii”)</w:t>
      </w:r>
    </w:p>
    <w:p>
      <w:pPr>
        <w:spacing w:after="0" w:line="18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On November 5, 2019, the Company entered into a Commercialization and License Agreement with Torii (the “Original Torii Agreement”), granting Torii the exclusive right to commercialize ORLADEYO for the prevention of HAE attacks in Japan. Under the Original Torii Agreement, the Company received an upfront, non-refundable payment of $22,000. The Company received an additional milestone payment of $15,000 in the second quarter of 2021 upon receipt from the Japanese National Health Insurance System of a reimbursement price approval for ORLADEYO. In addition, the Company was entitled to receive tiered royalty payments, ranging from 20% to 40% of annual net sales of ORLADEYO in Japan during each calendar year. Torii’s royalty payment obligations were subject to customary reductions in certain circumstances, but could not be reduced by more than 50% of the amount that otherwise would have been payable to the Company in the applicable calendar quarter.</w:t>
      </w:r>
    </w:p>
    <w:p>
      <w:pPr>
        <w:spacing w:after="0" w:line="162" w:lineRule="exact"/>
        <w:rPr>
          <w:sz w:val="20"/>
          <w:szCs w:val="20"/>
          <w:color w:val="auto"/>
        </w:rPr>
      </w:pPr>
    </w:p>
    <w:p>
      <w:pPr>
        <w:ind w:right="80" w:firstLine="486"/>
        <w:spacing w:after="0" w:line="277" w:lineRule="auto"/>
        <w:rPr>
          <w:sz w:val="20"/>
          <w:szCs w:val="20"/>
          <w:color w:val="auto"/>
        </w:rPr>
      </w:pPr>
      <w:r>
        <w:rPr>
          <w:rFonts w:ascii="Times New Roman" w:cs="Times New Roman" w:eastAsia="Times New Roman" w:hAnsi="Times New Roman"/>
          <w:sz w:val="17"/>
          <w:szCs w:val="17"/>
          <w:color w:val="auto"/>
        </w:rPr>
        <w:t>The Company identified performance obligations under the Original Torii Agreement related to (i) the license to develop and commercialize ORLADEYO, (ii) regulatory approval support, and (iii) reimbursement pricing approval 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w:t>
      </w:r>
    </w:p>
    <w:p>
      <w:pPr>
        <w:spacing w:after="0" w:line="127"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On November 30, 2023, the Company entered into an Amended and Restated Commercialization and License Agreement with Torii (as amended, the “Torii Agreement”). Under the Torii Agreement, the Company is entitled to receive tiered royalty payments, ranging from 20% to 80% of annual net sales of ORLADEYO in Japan during each calendar year. The Company is now responsible for all commercial promotion activities to support ORLADEYO sales in Japan, and Torii is responsible for HAE disease awareness activities in Japan. The Company will receive a 20% royalty on annual Japanese sales below a prespecified threshold and an 80% royalty on annual Japanese sales above the prespecified threshold.</w:t>
      </w:r>
    </w:p>
    <w:p>
      <w:pPr>
        <w:spacing w:after="0" w:line="143"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Torii’s updated royalty payment obligations commenced on November 30, 2023 and expire upon the later of (i) the tenth anniversary of the date of first commercial sale of ORLADEYO in Japan, (ii) the expiration of the Company’s patents covering ORLADEYO, and (iii) the expiration of regulatory exclusivity for ORLADEYO in Japan.</w:t>
      </w:r>
    </w:p>
    <w:p>
      <w:pPr>
        <w:spacing w:after="0" w:line="149"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Company determined that the Torii Agreement represented a contract modification to be accounted for as if it were part of the Original Torii Agreement under ASC Topic 606. As the performance obligations under the Original Torii Agreement had been fully satisfied, the Company was not required to adjust revenue previously recognized.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Peramivir Injection (RAPIVAB, RAPIACTA, PERAMIFLU)</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U.S. Department of Health and Human Services (“HHS”)</w:t>
      </w:r>
    </w:p>
    <w:p>
      <w:pPr>
        <w:spacing w:after="0" w:line="200"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In September 2024, the HHS awarded the Company up to a $69,388 contract for the procurement of up to 95.6 thousand doses over a five-year period of RAPIVAB (peramivir injection) for the treatment of influenza. The contract, awarded by the HHS Office of the Administration for Strategic Preparedness and Response (“ASPR”), will supply the Center for the Strategic National Stockpile, the nation’s largest supply of life-saving pharmaceuticals and medical supplies for use in a public health emergency. The contract is structured with a 12-month base ordering period and four optional 12-month ordering periods, which the government can exercise on an annual basis. ASPR has executed the first ordering period for $13,878 and the Company plans to supply 19.1 thousand doses to fulfill this option by September 29, 2025.</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Shionogi &amp; Co., Ltd. (“Shionogi”)</w:t>
      </w:r>
    </w:p>
    <w:p>
      <w:pPr>
        <w:spacing w:after="0" w:line="18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February 2007, the Company entered into an exclusive license agreement with Shionogi to develop and commercialize peramivir in Japan for the treatment of seasonal and potentially life-threatening human influenza. Under the terms of the agreement, Shionogi obtained rights to injectable formulations of peramivir in Japan. In October 2008, the Company and Shionogi amended the license agreement to expand the territory covered by the agreement to include Taiwan. Shionogi has commercially launched peramivir under the commercial name RAPIACTA in Japan and Taiwan. The Company developed peramivir under a license from UAB and will owe sublicense payments to UAB on any future milestone payments and/or royalties received by the Company from Shionogi.</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Green Cross Corporation (“Green Cross”)</w:t>
      </w:r>
    </w:p>
    <w:p>
      <w:pPr>
        <w:spacing w:after="0" w:line="20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June 2006, the Company entered into an agreement with Green Cross to develop and commercialize peramivir in Korea. Under the terms of the agreement, Green 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Collaborations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Clearside Biomedical, Inc. (“Clearside”)</w:t>
      </w:r>
    </w:p>
    <w:p>
      <w:pPr>
        <w:spacing w:after="0" w:line="200"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On November 3, 2023, the Company announced that it entered into a license agreement (the “Clearside Agreement”) with Clearside, enabling the Company to develop its investigational plasma kallikrein inhibitor, avoralstat, with Clearside’s SCS Microinjector® to deliver avoralstat to the back of the eye through the suprachoroidal space to treat patients with diabetic macular edema.</w:t>
      </w:r>
    </w:p>
    <w:p>
      <w:pPr>
        <w:spacing w:after="0" w:line="13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Under the Clearside Agreement, Clearside received a $5,000 upfront license fee from the Company. Clearside is eligible to receive up to an additional $30,000 in clinical and regulatory milestone payments, and up to a total of $47,500 in three post-approval sales-based milestone payments as annual global net sales progress to $2,000,000. The Company will pay Clearside tiered mid-single digit royalties on annual global net product sales, at three tiers, including a top tier of &gt;$1,500,000.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Workforce Reduction</w:t>
      </w:r>
    </w:p>
    <w:p>
      <w:pPr>
        <w:spacing w:after="0" w:line="202"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In January 2024, the Company announced a reduction of workforce. The majority of the impacted employees had a termination date in January 2024, with certain employees exiting later in 2024. The Company notified the impacted employees in January 2024.</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Company incurred costs related to employee severance, benefits, and related costs which were accounted for as ongoing terminations benefits under ASC Topic 712, </w:t>
      </w:r>
      <w:r>
        <w:rPr>
          <w:rFonts w:ascii="Times New Roman" w:cs="Times New Roman" w:eastAsia="Times New Roman" w:hAnsi="Times New Roman"/>
          <w:sz w:val="18"/>
          <w:szCs w:val="18"/>
          <w:i w:val="1"/>
          <w:iCs w:val="1"/>
          <w:color w:val="auto"/>
        </w:rPr>
        <w:t>Nonretirement Postemployment Benefits</w:t>
      </w:r>
      <w:r>
        <w:rPr>
          <w:rFonts w:ascii="Times New Roman" w:cs="Times New Roman" w:eastAsia="Times New Roman" w:hAnsi="Times New Roman"/>
          <w:sz w:val="18"/>
          <w:szCs w:val="18"/>
          <w:color w:val="auto"/>
        </w:rPr>
        <w:t>. As of December 31, 2023, it was considered probable that payment would be owed and the amount of payment was considered to be reasonably estimable, which resulted in the recognition of $3,380 of costs related to the workforce reduction during the year ended December 31, 2023, of which $3,026 was recognized in research and development expenses and $354 was recognized in selling, general and administrative expenses in the Consolidated Statement of Comprehensive Loss. As of September 30, 2024, $3,374 of the costs were paid, and the remaining $6 are included within accrued expenses on the Condensed Consolidated Balance Sheet. The remaining unpaid costs are expected to be disbursed during the period of October 1, 2024 through December 31, 2024.</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the employees impacted by the workforce reduction received an amount equal to the bonus amount the employee would have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through continued employment with the Company, which was considered a one-time termination benefit pursuant to ASC Topic 420, </w:t>
      </w:r>
      <w:r>
        <w:rPr>
          <w:rFonts w:ascii="Times New Roman" w:cs="Times New Roman" w:eastAsia="Times New Roman" w:hAnsi="Times New Roman"/>
          <w:sz w:val="18"/>
          <w:szCs w:val="18"/>
          <w:i w:val="1"/>
          <w:iCs w:val="1"/>
          <w:color w:val="auto"/>
        </w:rPr>
        <w:t>Exit or Disposal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As a result, $1,264 was recognized during the three months ended March 31, 2024, the period in which the communication occurred,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$1,201 was recognized in research and development expenses, and $63 was recognized in selling, general and administrative expenses in the Condensed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Comprehensive Loss. All of these costs were paid during the three months ended March 31, 2024.</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accrued liability activity recorded in connection with the workforce reduction for the three and nine months ended September 30, 2024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Workforce reduction expense recorded during the three months ended March 31, 2024</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paid during the three months ended March 31, 2024</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0"/>
        </w:trPr>
        <w:tc>
          <w:tcPr>
            <w:tcW w:w="97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reduction expense recorded during the three months ended June 30, 2024</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paid during the three months ended June 30, 2024</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Workforce reduction expense recorded during the three months ended September 30, 2024</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paid during the three months ended September 30, 2024</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
        </w:trPr>
        <w:tc>
          <w:tcPr>
            <w:tcW w:w="97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expect to incur any additional significant costs related to this workforce reduction.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189" w:lineRule="exact"/>
        <w:rPr>
          <w:sz w:val="20"/>
          <w:szCs w:val="20"/>
          <w:color w:val="auto"/>
        </w:rPr>
      </w:pPr>
    </w:p>
    <w:p>
      <w:pPr>
        <w:jc w:val="both"/>
        <w:ind w:right="600" w:firstLine="486"/>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condensed consolidated financial statements to provide additional evidence for certain estimates or to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intended to help the reader understand our results of operations and financial condition. This MD&amp;A is provided as a supplement to, and should be read in conjunction with, our unaudited condensed consolidated financial statements and the accompanying notes to the financial statements and other disclosures included in this report (including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at the beginning of this report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in Part II, Item 1A of this report).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486"/>
        <w:spacing w:after="0" w:line="277" w:lineRule="auto"/>
        <w:rPr>
          <w:sz w:val="20"/>
          <w:szCs w:val="20"/>
          <w:color w:val="auto"/>
        </w:rPr>
      </w:pPr>
      <w:r>
        <w:rPr>
          <w:rFonts w:ascii="Times New Roman" w:cs="Times New Roman" w:eastAsia="Times New Roman" w:hAnsi="Times New Roman"/>
          <w:sz w:val="17"/>
          <w:szCs w:val="17"/>
          <w:color w:val="auto"/>
        </w:rPr>
        <w:t>We are a global biotechnology company with a deep commitment to improving the lives of people living with hereditary angioedema (“HAE”) and other rare diseases. We leverage our expertise in structure-guided drug design with the goal of developing first-in-class or best-in-class oral small-molecule and protein therapeutics to target difficult-to-treat diseases. In addition to these discovery and development efforts, our business strategy includes the efficient commercialization of these drugs in the United States and certain other regions upon regulatory approval. By focusing on rare disease markets, we believe that we can more effectively control the costs of, and our strategic allocation of financial resources toward, post-approval commercialization.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Product Candidates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ORLADEYO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(berotralstat)</w:t>
      </w:r>
    </w:p>
    <w:p>
      <w:pPr>
        <w:spacing w:after="0" w:line="187"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ORLADEYO is an oral, once-daily therapy discovered and developed by us for the prevention of HAE attacks. ORLADEYO is approved in the United States and other global markets for the prevention of HAE attacks in adults and pediatric patients 12 years and older. In addition, the ongoing APeX-P clinical trial, which is complete through the primary endpoint, is continuing to assess an oral granule formulation of ORLADEYO in pediatric patients who are 2 to &lt;12 years of age.</w:t>
      </w:r>
    </w:p>
    <w:p>
      <w:pPr>
        <w:spacing w:after="0" w:line="153"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have built out our U.S. commercial infrastructure to support the launch and continued commercialization of ORLADEYO in the United States and are continuing to build our commercial infrastructure to support launches in other markets. Based on proprietary analyses of HAE prevalence and market research studies with HAE patients, physicians, and payors in the United States and Europe, and more than three and a half years of commercialization experience with ORLADEYO, we anticipate that the global commercial market for ORLADEYO has the potential to reach a global peak of $1 billion in annual net ORLADEYO revenues. We expect approximately 80 percent of our revenue at peak to come from the United States.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w:t>
      </w:r>
      <w:r>
        <w:rPr>
          <w:rFonts w:ascii="Times New Roman" w:cs="Times New Roman" w:eastAsia="Times New Roman" w:hAnsi="Times New Roman"/>
          <w:sz w:val="18"/>
          <w:szCs w:val="18"/>
          <w:i w:val="1"/>
          <w:iCs w:val="1"/>
          <w:color w:val="auto"/>
        </w:rPr>
        <w:t>Risk Factors—Risks Relating to Our Business—Risks Relating to Drug Development and Commercialization—There can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assurance that our or our partners’ commercialization efforts, methods, and strategies for our products or technologies will succeed, and our future revenue generation is uncertain</w:t>
      </w:r>
      <w:r>
        <w:rPr>
          <w:rFonts w:ascii="Times New Roman" w:cs="Times New Roman" w:eastAsia="Times New Roman" w:hAnsi="Times New Roman"/>
          <w:sz w:val="18"/>
          <w:szCs w:val="18"/>
          <w:color w:val="auto"/>
        </w:rPr>
        <w:t>” in Part II, Item 1A of this report for further discussion of these risks.</w:t>
      </w:r>
    </w:p>
    <w:p>
      <w:pPr>
        <w:spacing w:after="0" w:line="152" w:lineRule="exact"/>
        <w:rPr>
          <w:sz w:val="20"/>
          <w:szCs w:val="20"/>
          <w:color w:val="auto"/>
        </w:rPr>
      </w:pPr>
    </w:p>
    <w:p>
      <w:pPr>
        <w:ind w:right="120" w:firstLine="486"/>
        <w:spacing w:after="0" w:line="275" w:lineRule="auto"/>
        <w:rPr>
          <w:sz w:val="20"/>
          <w:szCs w:val="20"/>
          <w:color w:val="auto"/>
        </w:rPr>
      </w:pPr>
      <w:r>
        <w:rPr>
          <w:rFonts w:ascii="Times New Roman" w:cs="Times New Roman" w:eastAsia="Times New Roman" w:hAnsi="Times New Roman"/>
          <w:sz w:val="17"/>
          <w:szCs w:val="17"/>
          <w:color w:val="auto"/>
        </w:rPr>
        <w:t>Revenue from sales of ORLADEYO for the three and nine months ended September 30, 2024 is discussed under “</w:t>
      </w:r>
      <w:r>
        <w:rPr>
          <w:rFonts w:ascii="Times New Roman" w:cs="Times New Roman" w:eastAsia="Times New Roman" w:hAnsi="Times New Roman"/>
          <w:sz w:val="17"/>
          <w:szCs w:val="17"/>
          <w:i w:val="1"/>
          <w:iCs w:val="1"/>
          <w:color w:val="auto"/>
        </w:rPr>
        <w:t>Results of Operations</w:t>
      </w:r>
      <w:r>
        <w:rPr>
          <w:rFonts w:ascii="Times New Roman" w:cs="Times New Roman" w:eastAsia="Times New Roman" w:hAnsi="Times New Roman"/>
          <w:sz w:val="17"/>
          <w:szCs w:val="17"/>
          <w:color w:val="auto"/>
        </w:rPr>
        <w:t>” in this MD&amp;A. Revenue from sales of ORLADEYO in future periods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 We monitor and analyze this data on an ongoing basis as we continue to commercialize ORLADEYO.</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Netherton Syndrome (BCX17725)</w:t>
      </w:r>
    </w:p>
    <w:p>
      <w:pPr>
        <w:spacing w:after="0" w:line="200" w:lineRule="exact"/>
        <w:rPr>
          <w:sz w:val="20"/>
          <w:szCs w:val="20"/>
          <w:color w:val="auto"/>
        </w:rPr>
      </w:pPr>
    </w:p>
    <w:p>
      <w:pPr>
        <w:ind w:right="160" w:firstLine="486"/>
        <w:spacing w:after="0" w:line="277" w:lineRule="auto"/>
        <w:rPr>
          <w:sz w:val="20"/>
          <w:szCs w:val="20"/>
          <w:color w:val="auto"/>
        </w:rPr>
      </w:pPr>
      <w:r>
        <w:rPr>
          <w:rFonts w:ascii="Times New Roman" w:cs="Times New Roman" w:eastAsia="Times New Roman" w:hAnsi="Times New Roman"/>
          <w:sz w:val="17"/>
          <w:szCs w:val="17"/>
          <w:color w:val="auto"/>
        </w:rPr>
        <w:t>BCX17725 is a potent and selective investigational protein therapeutic KLK5 inhibitor designed to provide best-in-class, potentially disease-modifying treatment for people with Netherton syndrome. Netherton syndrome is a serious, rare, lifelong genetic disorder affecting the skin, hair, and immune system, caused by lack of normal function of a natural inhibitor of KLK5. People with Netherton syndrome often have red, scaly, inflamed skin, fragile hair, and are more likely to develop skin infections, allergies, asthma and eczema. Netherton syndrome can be life-threatening, especially during infancy when patients are vulnerable to dehydration and recurrent infections. Currently, there are no approved treatments for Netherton syndrome.</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Avoralstat</w:t>
      </w:r>
    </w:p>
    <w:p>
      <w:pPr>
        <w:spacing w:after="0" w:line="197" w:lineRule="exact"/>
        <w:rPr>
          <w:sz w:val="20"/>
          <w:szCs w:val="20"/>
          <w:color w:val="auto"/>
        </w:rPr>
      </w:pPr>
    </w:p>
    <w:p>
      <w:pPr>
        <w:ind w:right="100" w:firstLine="486"/>
        <w:spacing w:after="0" w:line="245" w:lineRule="auto"/>
        <w:rPr>
          <w:sz w:val="20"/>
          <w:szCs w:val="20"/>
          <w:color w:val="auto"/>
        </w:rPr>
      </w:pPr>
      <w:r>
        <w:rPr>
          <w:rFonts w:ascii="Times New Roman" w:cs="Times New Roman" w:eastAsia="Times New Roman" w:hAnsi="Times New Roman"/>
          <w:sz w:val="18"/>
          <w:szCs w:val="18"/>
          <w:color w:val="auto"/>
        </w:rPr>
        <w:t>We are developing our investigational plasma kallikrein inhibitor, avoralstat, with Clearside Biomedical, Inc.’s SCS Microinjector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deliver avoralstat to the back of the eye through the suprachoroidal space to treat patients with diabetic macular edema (“DME”). DME is an important cause of vision loss in diabetes and is due to leakage from the blood vessels in the retina. While current treatments focus on vascular endothelial growth factor (“VEGF”) inhibition, DME can develop from other mechanisms, such as the kallikrein-bradykinin pathway. This is supported by observations that many DME patients have an incomplete response to intravitreal anti-VEGF therapies that are administered every four to eight weeks. Avoralstat targets the kallikrein-bradykinin system on the retinal vascular endothelial cells and may result in less vascular leakage and less edema. Avoralstat, delivered to the suprachoroidal space as a depot formulation, is designed to provide high dose levels to the retinal vessels with long-lasting exposure, which could result in less frequent injections and a reduced burden on patients and the healthcare system.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Complement Program</w:t>
      </w:r>
    </w:p>
    <w:p>
      <w:pPr>
        <w:spacing w:after="0" w:line="18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goal of our overall complement program is to advance first-in-class and/or best-in-class compounds across multiple pathways in the complement system to treat complement-mediated diseases. We are pursuing oral medicines and protein therapeutics directed at targets across the classical, lectin, terminal, and alternative pathways of the complement system, including the therapies listed below.</w:t>
      </w:r>
    </w:p>
    <w:p>
      <w:pPr>
        <w:spacing w:after="0" w:line="147" w:lineRule="exact"/>
        <w:rPr>
          <w:sz w:val="20"/>
          <w:szCs w:val="20"/>
          <w:color w:val="auto"/>
        </w:rPr>
      </w:pPr>
    </w:p>
    <w:p>
      <w:pPr>
        <w:ind w:right="1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BCX10013. </w:t>
      </w:r>
      <w:r>
        <w:rPr>
          <w:rFonts w:ascii="Times New Roman" w:cs="Times New Roman" w:eastAsia="Times New Roman" w:hAnsi="Times New Roman"/>
          <w:sz w:val="18"/>
          <w:szCs w:val="18"/>
          <w:color w:val="auto"/>
        </w:rPr>
        <w:t>BCX10013 is an oral Factor D inhibitor that targets the alternative pathway of complement. On August 5, 2024, we announced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to discontinue development of BCX10013. For more information, see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below in this MD&amp;A.</w:t>
      </w:r>
    </w:p>
    <w:p>
      <w:pPr>
        <w:spacing w:after="0" w:line="11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Oral C5 Inhibitor. </w:t>
      </w:r>
      <w:r>
        <w:rPr>
          <w:rFonts w:ascii="Times New Roman" w:cs="Times New Roman" w:eastAsia="Times New Roman" w:hAnsi="Times New Roman"/>
          <w:sz w:val="18"/>
          <w:szCs w:val="18"/>
          <w:color w:val="auto"/>
        </w:rPr>
        <w:t>We are developing an oral C5 inhibitor that could be the first targeted oral therapy with competitive efficacy to currently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injected and infused anti-C5 therapies, such as eculizumab and ravulizumab. A drug with this profile could enable patients with generalized myasthenia gravis (“gMG”) to switch from infused therapy and address their disease earlier in the treatment paradigm. gMG is a chronic autoimmune, neuromuscular disease that causes muscle weakness that worsens after periods of activity.</w:t>
      </w:r>
    </w:p>
    <w:p>
      <w:pPr>
        <w:spacing w:after="0" w:line="139" w:lineRule="exact"/>
        <w:rPr>
          <w:sz w:val="20"/>
          <w:szCs w:val="20"/>
          <w:color w:val="auto"/>
        </w:rPr>
      </w:pPr>
    </w:p>
    <w:p>
      <w:pPr>
        <w:jc w:val="both"/>
        <w:ind w:right="2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Bifunctional Complement Inhibitor</w:t>
      </w:r>
      <w:r>
        <w:rPr>
          <w:rFonts w:ascii="Times New Roman" w:cs="Times New Roman" w:eastAsia="Times New Roman" w:hAnsi="Times New Roman"/>
          <w:sz w:val="18"/>
          <w:szCs w:val="18"/>
          <w:color w:val="auto"/>
        </w:rPr>
        <w:t>. We are developing a bifunctional complement inhibitor anti-C2 monoclonal antibody that could be a first-in-class combined inhibitor of the classical, lectin and alternative pathways of the complement system to treat complex complement-mediated diseases like Immunoglobulin A Nephropathy and lupus nephritis, which are influenced by multiple complement pathways.</w:t>
      </w:r>
    </w:p>
    <w:p>
      <w:pPr>
        <w:spacing w:after="0" w:line="14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Oral C2 Inhibitor</w:t>
      </w:r>
      <w:r>
        <w:rPr>
          <w:rFonts w:ascii="Times New Roman" w:cs="Times New Roman" w:eastAsia="Times New Roman" w:hAnsi="Times New Roman"/>
          <w:sz w:val="18"/>
          <w:szCs w:val="18"/>
          <w:color w:val="auto"/>
        </w:rPr>
        <w:t>. We are developing a classical and lectin pathway complement inhibitor to treat autoimmune hemolytic anemias, including cold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agglutinin disease (“CAD”) and warm autoimmune hemolytic anemia (“wAIHA”). The limited approved options for treating diseases like CAD and wAIHA are injectable or infused. An oral C2 inhibitor developed by us could be first-in-class and allow patients to switch from infused therapy and address their disease earlier in the treatment paradigm. Inhibiting C2 could decrease red cell destruction (hemolysis) in autoimmune hemolytic anemias by blocking the classical and lectin pathways.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RAPIVAB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/RAPIACTA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/PERAMIFLU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(peramivir injection)</w:t>
      </w:r>
    </w:p>
    <w:p>
      <w:pPr>
        <w:spacing w:after="0" w:line="187" w:lineRule="exact"/>
        <w:rPr>
          <w:sz w:val="20"/>
          <w:szCs w:val="20"/>
          <w:color w:val="auto"/>
        </w:rPr>
      </w:pPr>
    </w:p>
    <w:p>
      <w:pPr>
        <w:ind w:right="260" w:firstLine="486"/>
        <w:spacing w:after="0" w:line="289" w:lineRule="auto"/>
        <w:rPr>
          <w:sz w:val="20"/>
          <w:szCs w:val="20"/>
          <w:color w:val="auto"/>
        </w:rPr>
      </w:pPr>
      <w:r>
        <w:rPr>
          <w:rFonts w:ascii="Times New Roman" w:cs="Times New Roman" w:eastAsia="Times New Roman" w:hAnsi="Times New Roman"/>
          <w:sz w:val="17"/>
          <w:szCs w:val="17"/>
          <w:color w:val="auto"/>
        </w:rPr>
        <w:t>RAPIVAB (peramivir injection) is approved in the United States for the treatment of acute uncomplicated influenza for patients six months and older. Since the 2009 H1N1 pandemic, RAPIVAB has been an important component of the U.S. Government’s influenza preparedness efforts. Peramivir injection is also approved in Canada (RAPIVAB), Australia (RAPIVAB), Japan (RAPIACTA), Taiwan (RAPIACTA), and Korea (PERAMIFLU).</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Expenses</w:t>
      </w:r>
    </w:p>
    <w:p>
      <w:pPr>
        <w:spacing w:after="0" w:line="187"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Our revenues are difficult to predict and depend on several factors, including those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and the resources dedicated to our products and product candidates by us and our collaborative partners,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Our operating expenses are also difficult to predict and depend on several factors, including research and development expenses, drug manufacturing, clinical research activities, the ongoing requirements of our development programs, the costs of commercialization, the availability of capital and direction from regulatory agencies, which are difficult to predict, and the factors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in Part II,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spacing w:after="0" w:line="15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ORLADEYO (berotralstat)</w:t>
      </w:r>
    </w:p>
    <w:p>
      <w:pPr>
        <w:spacing w:after="0" w:line="200"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On July 9, 2024, we announced that the General Directorate of Medicines, Supplies and Drugs in Peru granted approval for ORLADEYO for the prophylaxis of HAE attacks in adults and pediatric patients 12 years of age or older.</w:t>
      </w:r>
    </w:p>
    <w:p>
      <w:pPr>
        <w:spacing w:after="0" w:line="121"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On August 5, 2024, we announced that a recent market research study showed that 52 percent of allergist/immunologists are extremely likely to prescribe ORLADEYO to more patients, up from 29 percent in early 2023.</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On August 5, 2024, we also announced that we remain on track to submit a regulatory filing in 2025 to expand the ORLADEYO label to enable children as young as two years of age to receive an oral granule formulation of ORLADEYO. ORLADEYO would be the first oral prophylactic therapy for children with HAE.</w:t>
      </w:r>
    </w:p>
    <w:p>
      <w:pPr>
        <w:spacing w:after="0" w:line="14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On September 6, 2024, we announced the presentation of six posters, including the first interim data from APeX-N, a European multi-center observational study assessing the safety (primary objective), effectiveness and quality of life (secondary objectives) of berotralstat 150 mg in routine clinical use. We also presented new data highlighting the value of shared decision making between healthcare providers and their HAE patients to provide optimal patient outcomes.</w:t>
      </w:r>
    </w:p>
    <w:p>
      <w:pPr>
        <w:spacing w:after="0" w:line="13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On October 14, 2024, we announced new real-world evidence on the use of ORLADEYO demonstrating that patients with HAE in the United States experience significant reductions in healthcare resource utilization, including significant reductions in hospitalizations, emergency room visits and use of on-demand therapies, after beginning treatment with ORLADEYO.</w:t>
      </w:r>
    </w:p>
    <w:p>
      <w:pPr>
        <w:spacing w:after="0" w:line="13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On October 24, 2024, we announced new real-world comparative research on the use of ORLADEYO that found high rates of adherence and persistence for ORLADEYO, similar to the rates observed with two other long-term prophylactic (“LTP”) therapies for HAE. We also announced new real-world evidence showing statistically significant and sustained HAE attack rate reductions after initiating ORLADEYO in patients with HAE, regardless of their C1-inhibitor deficiency status, and new findings from an HAE patient survey confirming patient preference for an oral LTP therapy.</w:t>
      </w:r>
    </w:p>
    <w:p>
      <w:pPr>
        <w:spacing w:after="0" w:line="153"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On November 4, 2024, we announced that since launch, approximately half of patients who have started ORLADEYO have switched from another prophylactic therapy. We have begun the observational Phase 4 APeX-T study, designed to generate real-world data to inform physicians on the best individual approaches to support transition to ORLADEYO.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Netherton Syndrome</w:t>
      </w:r>
    </w:p>
    <w:p>
      <w:pPr>
        <w:spacing w:after="0" w:line="18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August 5, 2024, we reaffirmed that we expected to advance BCX17725 into the clinic by the end of 2024. On October 2, 2024, we announced the enrollment of the first participant in a Phase 1 trial evaluating BCX17725 for people with Netherton syndrome.</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November 4, 2024, we announced that we expect initial data from the BCX17725 program in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Avoralstat</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August 5, 2024, we reaffirmed that we plan to advance avoralstat into a clinical trial of patients with DME in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Complement-Mediated Diseases</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BCX10013</w:t>
      </w:r>
    </w:p>
    <w:p>
      <w:pPr>
        <w:spacing w:after="0" w:line="187" w:lineRule="exact"/>
        <w:rPr>
          <w:sz w:val="20"/>
          <w:szCs w:val="20"/>
          <w:color w:val="auto"/>
        </w:rPr>
      </w:pPr>
    </w:p>
    <w:p>
      <w:pPr>
        <w:jc w:val="both"/>
        <w:ind w:right="540" w:firstLine="486"/>
        <w:spacing w:after="0" w:line="266" w:lineRule="auto"/>
        <w:rPr>
          <w:sz w:val="20"/>
          <w:szCs w:val="20"/>
          <w:color w:val="auto"/>
        </w:rPr>
      </w:pPr>
      <w:r>
        <w:rPr>
          <w:rFonts w:ascii="Times New Roman" w:cs="Times New Roman" w:eastAsia="Times New Roman" w:hAnsi="Times New Roman"/>
          <w:sz w:val="18"/>
          <w:szCs w:val="18"/>
          <w:color w:val="auto"/>
        </w:rPr>
        <w:t>On August 5, 2024, we announced that we completed our clinical evaluation of BCX10013. The drug was safe and well tolerated at all doses studied; however, the level of clinical activity observed was less than other therapies on the market, and potential partners have declined to make the additional investment required to evaluate higher doses. We plan to discontinue development, consistent with our previously announced plans.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RAPIVAB (peramivir injection)</w:t>
      </w:r>
    </w:p>
    <w:p>
      <w:pPr>
        <w:spacing w:after="0" w:line="200"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On September 30, 2024, we announced that the U.S. Department of Health and Human Services (the “HHS”) awarded us up to a $69 million contract (the “HHS Contract”) for the procurement of up to 95,625 doses over a five-year period of RAPIVAB for the treatment of influenza.</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HHS Contract, awarded by the HHS Office of the Administration for Strategic Preparedness and Response (“ASPR”), will supply the Center for the Strategic National Stockpile, the nation’s largest supply of life-saving pharmaceuticals and medical supplies for use in a public health emergency. The HHS Contract is structured with a 12-month base ordering period and four optional 12-month ordering periods, which the government can exercise on an annual basis. ASPR has executed the first ordering period for $13.9 million, and we plan to supply 19,125 doses to fulfill this option between now and September 29,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(three months ended September 30, 2024 compared to the three months ended September 30, 2023)</w:t>
      </w:r>
    </w:p>
    <w:p>
      <w:pPr>
        <w:spacing w:after="0" w:line="202"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total revenues were $117.1 million as compared to $86.7 million for the three months ended September 30, 2023. The increase in total revenues was due to a $30.6 million increase in ORLADEYO net revenue, including royalties, primarily due to an increase in direct sales of ORLADEYO.</w:t>
      </w:r>
    </w:p>
    <w:p>
      <w:pPr>
        <w:spacing w:after="0" w:line="135"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Cost of product sales for the three months ended September 30, 2024 and 2023 was $3.2 million and $1.1 million, respectively. The increase in cost of product sales was primarily due to an increase in ORLADEYO sales and an increase in the inventory reserve in the current year period.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310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8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by program:</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Berotralstat</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13,151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Factor D Program</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w:t>
            </w:r>
          </w:p>
        </w:tc>
      </w:tr>
      <w:tr>
        <w:trPr>
          <w:trHeight w:val="23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research, preclinical and development costs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23,388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17,876</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41,081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decreased to $41.1 million for the three months ended September 30, 2024 from $46.9 million for the three months ended September 30, 2023, primarily due to a decrease in Factor D program expenses. The decrease in Factor D program expenses was primarily attributed to the discontinuation of the BCX10013 program. This decrease in research and development expenses was partially offset by increased spending on berotralstat due to our ORLADEYO APeX-P clinical trial and increased spending on other research, preclinical and development costs. Other research, preclinical and development costs increased due to increased spending on avoralstat for investigational new drug application-enabling activities and increased investments to advance our other early-stage discovery programs. Further, there was an increase in stock-based compensation expense as a result of the BioCryst Pharmaceuticals, Inc. Equity Award Retirement Policy (the “Retirement Policy”) adopted in July 2024.</w:t>
      </w:r>
    </w:p>
    <w:p>
      <w:pPr>
        <w:spacing w:after="0" w:line="148"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September 30, 2024 were $65.1 million compared to $50.6 million for the three months ended September 30, 2023. The increase was primarily due to an increase in commercial expenses to support our growing revenue as well as our newly launched regions and expanded international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operations. Further, there was an increase in general and administrative expenses to support our commercial growth and an increase in stock-based compensation expense as a result of the Retirement Policy adopted in July 2024.</w:t>
      </w:r>
    </w:p>
    <w:p>
      <w:pPr>
        <w:spacing w:after="0" w:line="13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2024 was $24.8 million compared to $27.3 million for the three months ended September 30, 2023. The decrease in interest expense was primarily due to the decrease in the effective interest rate related to the 2021 RPI Royalty Purchase Agreement (as defined in “</w:t>
      </w:r>
      <w:r>
        <w:rPr>
          <w:rFonts w:ascii="Times New Roman" w:cs="Times New Roman" w:eastAsia="Times New Roman" w:hAnsi="Times New Roman"/>
          <w:sz w:val="18"/>
          <w:szCs w:val="18"/>
          <w:i w:val="1"/>
          <w:iCs w:val="1"/>
          <w:color w:val="auto"/>
        </w:rPr>
        <w:t>Note 6—Royalty Financing Obligations—ORLADEYO and Factor D Inhibitors</w:t>
      </w:r>
      <w:r>
        <w:rPr>
          <w:rFonts w:ascii="Times New Roman" w:cs="Times New Roman" w:eastAsia="Times New Roman" w:hAnsi="Times New Roman"/>
          <w:sz w:val="18"/>
          <w:szCs w:val="18"/>
          <w:color w:val="auto"/>
        </w:rPr>
        <w:t>” in the Notes to Condensed Consolidated Financial Statements in Part I, Item 1 of this report).</w:t>
      </w:r>
    </w:p>
    <w:p>
      <w:pPr>
        <w:spacing w:after="0" w:line="13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2024 was primarily comprised of $14.0 million of non-cash interest expense due to the amortization of interest associated with the royalty financing obligations and $10.7 million of interest expense, including the amortization of the deferred financing associated with the borrowings under the Pharmakon Loan Agreement (as defined below). Interest expense for the three months ended September 30, 2023 was primarily comprised of $17.3 million of non-cash interest expense due to the amortization of interest associated with the royalty financing obligations and $9.9 million of interest expense, including the amortization of the deferred financing associated with the borrowings under the Pharmakon Loan Agreement.</w:t>
      </w:r>
    </w:p>
    <w:p>
      <w:pPr>
        <w:spacing w:after="0" w:line="147"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interest income was $3.6 million compared to $4.2 million for the three months ended September 30, 2023. Net foreign currency gains were $0.1 million for the three months ended September 30, 2024 compared to losses of $0.7 million for the three months ended September 30, 2023.</w:t>
      </w:r>
    </w:p>
    <w:p>
      <w:pPr>
        <w:spacing w:after="0" w:line="149"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income tax expense was $0.6 million compared to $0.3 million for the three months ended September 30, 2023. The increase in income tax expense was primarily due to the decrease in net loss for the three months ended September 30, 2024 compared to the three months ended September 30,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(nine months ended September 30, 2024 compared to the nine months ended September 30, 2023)</w:t>
      </w:r>
    </w:p>
    <w:p>
      <w:pPr>
        <w:spacing w:after="0" w:line="18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total revenues were $319.2 million compared to $238.0 million for the nine months ended September 30, 2023. The increase in total revenues was due to a $78.4 million increase in ORLADEYO net revenue, including royalties, primarily due to an increase in direct sales of ORLADEYO, and an increase in other revenues of $2.8 million, primarily due to an increase in royalties for sales of peramivir and an increase in direct sales of RAPIVAB.</w:t>
      </w:r>
    </w:p>
    <w:p>
      <w:pPr>
        <w:spacing w:after="0" w:line="153"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Cost of product sales for the nine months ended September 30, 2024 and 2023 was $6.2 million and $2.9 million, respectively. The increase in cost of product sales was primarily due to an increase in ORLADEYO sales and an increase in the inventory reserve in the current year period.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8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by program:</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Berotralstat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29,931</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Factor D Program</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70,064</w:t>
            </w:r>
          </w:p>
        </w:tc>
      </w:tr>
      <w:tr>
        <w:trPr>
          <w:trHeight w:val="23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research, preclinical and development costs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46,519</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146,514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decreased to $125.2 million for the nine months ended September 30, 2024 from $146.5 million for the nine months ended September 30, 2023, primarily due to a decrease in Factor D program expenses. The decrease in Factor D program expenses was primarily attributed to decreased spending on BCX10013 and the discontinuation of the BCX9930 program. These reductions to research and development expenses were partially offset by increased spending on berotralstat due to our ORLADEYO APeX-P clinical trial and increased spending on other research, preclinical and development costs. Other research, preclinical and development costs increased due to increased spending on BCX17725 and avoralstat for investigational new drug application-enabling activities and increased investments to advance our other early-stage discovery programs. Further, there was an increase in stock-based compensation expense as a result of the Retirement Policy adopted in July 2024.</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September 30, 2024 were $185.7 million compared to $149.5 million for the nine months ended September 30, 2023. The increase was primarily due to an increase in commercial expenses to support our growing revenue as well as our newly launched regions and expanded international operations. Further, there was an increase in general and administrative expenses primarily attributed to an increase in headcount and consulting spend to support our accounting function, an increase in information technology and human resources costs to support our commercial growth and an increase in stock-based compensation expense as a result of the Retirement Policy adopted in July 2024.</w:t>
      </w:r>
    </w:p>
    <w:p>
      <w:pPr>
        <w:spacing w:after="0" w:line="15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2024 was $74.1 million compared to $83.7 million for the nine months ended September 30, 2023. The decrease in interest expense was primarily due to the decrease in the effective interest rate related to the 2021 RPI Royalty Purchase Agreement (as defined in “</w:t>
      </w:r>
      <w:r>
        <w:rPr>
          <w:rFonts w:ascii="Times New Roman" w:cs="Times New Roman" w:eastAsia="Times New Roman" w:hAnsi="Times New Roman"/>
          <w:sz w:val="18"/>
          <w:szCs w:val="18"/>
          <w:i w:val="1"/>
          <w:iCs w:val="1"/>
          <w:color w:val="auto"/>
        </w:rPr>
        <w:t>Note 6—Royalty Financing Obligations—ORLADEYO and Factor D Inhibitors</w:t>
      </w:r>
      <w:r>
        <w:rPr>
          <w:rFonts w:ascii="Times New Roman" w:cs="Times New Roman" w:eastAsia="Times New Roman" w:hAnsi="Times New Roman"/>
          <w:sz w:val="18"/>
          <w:szCs w:val="18"/>
          <w:color w:val="auto"/>
        </w:rPr>
        <w:t>” in the Notes to Condensed Consolidated Financial Statements in Part I, Item 1 of this report), partially offset by an increase in interest expense associated with the interest accrued on the Tranche A Loan of $300.0 million under the Pharmakon Loan Agreement, which was funded on April 17, 2023.</w:t>
      </w:r>
    </w:p>
    <w:p>
      <w:pPr>
        <w:spacing w:after="0" w:line="143"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2024 was primarily comprised of $42.5 million of non-cash interest expense due to the amortization of interest associated with the royalty financing obligations and $31.3 million of interest expense, including the amortization of the deferred financing associated with the borrowings under the Pharmakon Loan Agreement. Interest expense for the nine months ended September 30, 2023 was primarily comprised of $56.1 million of non-cash interest expense due to the amortization of interest associated with the royalty financing obligations, $17.8 million of interest expense, including the amortization of the deferred financing associated with the borrowings under the Pharmakon Loan Agreement, and $9.5 million of interest expense, including the amortization of the deferred financing associated with the borrowings under the Athyrium Credit Agreement (as defined below).</w:t>
      </w:r>
    </w:p>
    <w:p>
      <w:pPr>
        <w:spacing w:after="0" w:line="148"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interest income was $11.2 million compared to $11.3 million for the nine months ended September 30, 2023. Net foreign currency losses were less than $0.1 million for the nine months ended September 30, 2024 compared to $0.7 million for the nine months ended September 30, 2023. For the nine months ended September 30, 2023, loss on extinguishment of debt associated with the repayment of the term loans under the Athyrium Credit Agreement was $29.0 million.</w:t>
      </w:r>
    </w:p>
    <w:p>
      <w:pPr>
        <w:spacing w:after="0" w:line="153"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income tax expense was $1.1 million compared to $1.7 million for the nine months ended September 30, 2023. The decrease in income tax expense is primarily due to an increase in the amortization deduction related to capitalized research and development costs and the reversal of certain tax timing differences.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0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operations have principally been funded through public offerings and private placements of equity securities; our credit facilities; revenues from ORLADEYO; royalty financing transactions; and cash from collaborative and other research and development agreements, including U.S. Government contracts. In addition to the above, we have received funding from other sources, including other collaborative and other research and development agreements, government grants, equipment lease financing, facility leases, research grants, and interest income on our investments.</w:t>
      </w:r>
    </w:p>
    <w:p>
      <w:pPr>
        <w:spacing w:after="0" w:line="139" w:lineRule="exact"/>
        <w:rPr>
          <w:sz w:val="20"/>
          <w:szCs w:val="20"/>
          <w:color w:val="auto"/>
        </w:rPr>
      </w:pPr>
    </w:p>
    <w:p>
      <w:pPr>
        <w:ind w:right="200" w:firstLine="486"/>
        <w:spacing w:after="0" w:line="254" w:lineRule="auto"/>
        <w:rPr>
          <w:sz w:val="20"/>
          <w:szCs w:val="20"/>
          <w:color w:val="auto"/>
        </w:rPr>
      </w:pPr>
      <w:r>
        <w:rPr>
          <w:rFonts w:ascii="Times New Roman" w:cs="Times New Roman" w:eastAsia="Times New Roman" w:hAnsi="Times New Roman"/>
          <w:sz w:val="18"/>
          <w:szCs w:val="18"/>
          <w:color w:val="auto"/>
        </w:rPr>
        <w:t>On April 17, 2023, we entered into a $450.0 million Loan Agreement (the “Pharmakon Loan Agreement”) with BioPharma Credit Investments V (Master) LP and BPCR Limited Partnership, as lenders, and BioPharma Credit PLC, as collateral agent for the lenders. The Pharmakon Loan Agreement provides for an initial term loan in the principal amount of $300.0 million (the “Tranche A Loan”), which was funded on April 17, 2023. We utilized the proceeds from the Tranche A Loan to repay the approximate $241.8 million of outstanding indebtedness under the then-existing credit facility with Athyrium Opportunities III Co-Invest 1 LP (the “Athyrium Credit Agreement”) and to pay transaction costs and fees, and we used the remaining net proceeds of approximately $25.8 million for other general corporate purposes. The Pharmakon Loan Agreement also provided for three additional term loan tranches in principal amounts of $50.0 million each, which we could have requested, at our option, on or prior to September 30, 2024. We did not request any of the additional term loan tranches. The maturity date of the Pharmakon Loan Agreement is April 17, 2028.</w:t>
      </w:r>
    </w:p>
    <w:p>
      <w:pPr>
        <w:spacing w:after="0" w:line="15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Pharmakon Loan Agreement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dispose of assets; engage in mergers, acquisitions, and similar transactions; incur additional indebtedness; grant liens; make investments; pay dividends or make</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distributions or certain other restricted payments in respect of equity; prepay other indebtedness; enter into restrictive agreements; undertake fundamental changes; or amend certain material contracts, among other customary covenants, in each case subject to certain exceptions. These covenants could cause us to be unable to pursue business opportunities that we or our stockholders may consider beneficial without the lenders’ permission or without repaying all obligations outstanding under the Pharmakon Loan Agreement. A breach of any of these covenants could result in an event of default under the Pharmakon Loan Agreement. As of September 30, 2024, we were in compliance with the negative covenants under the Pharmakon Loan Agreement.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Debt—Pharmakon Loan Agreement</w:t>
      </w:r>
      <w:r>
        <w:rPr>
          <w:rFonts w:ascii="Times New Roman" w:cs="Times New Roman" w:eastAsia="Times New Roman" w:hAnsi="Times New Roman"/>
          <w:sz w:val="18"/>
          <w:szCs w:val="18"/>
          <w:color w:val="auto"/>
        </w:rPr>
        <w:t>” in the Notes to Condensed Consolidated Financial Statements in Part I, Item 1 of this report for additional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our obligations under the Pharmakon Loan Agreement.</w:t>
      </w:r>
    </w:p>
    <w:p>
      <w:pPr>
        <w:spacing w:after="0" w:line="16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2020 and 2021, we entered into the Royalty Purchase Agreements (as defined in “</w:t>
      </w:r>
      <w:r>
        <w:rPr>
          <w:rFonts w:ascii="Times New Roman" w:cs="Times New Roman" w:eastAsia="Times New Roman" w:hAnsi="Times New Roman"/>
          <w:sz w:val="18"/>
          <w:szCs w:val="18"/>
          <w:i w:val="1"/>
          <w:iCs w:val="1"/>
          <w:color w:val="auto"/>
        </w:rPr>
        <w:t>Note 6—Royalty Financing Obligations—ORLADEYO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 D Inhibitors</w:t>
      </w:r>
      <w:r>
        <w:rPr>
          <w:rFonts w:ascii="Times New Roman" w:cs="Times New Roman" w:eastAsia="Times New Roman" w:hAnsi="Times New Roman"/>
          <w:sz w:val="18"/>
          <w:szCs w:val="18"/>
          <w:color w:val="auto"/>
        </w:rPr>
        <w:t>” in the Notes to Condensed Consolidated Financial Statements in Part I, Item 1 of this report) with RPI 2019 Intermediate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(“RPI”) and OCM IP Healthcare Holdings Limited, an affiliate of OMERS Capital Markets (“OMERS”). Under the Royalty Purchase Agreements, RPI and OMERS are entitled to receive tiered, sales-based royalties on net product sales of ORLADEYO in the United States and certain key European markets (collectively, the “Key Territories”), and other markets where we sell ORLADEYO directly or through distributors. In addition, RPI and OMERS are entitled to receive a tiered revenue share on amounts generally received by us on account of ORLADEYO sublicense revenue or net sales by licensees outside of the Key Territories. Our required payments to OMERS commenced with the calendar quarter beginning October 1, 2023. See “</w:t>
      </w:r>
      <w:r>
        <w:rPr>
          <w:rFonts w:ascii="Times New Roman" w:cs="Times New Roman" w:eastAsia="Times New Roman" w:hAnsi="Times New Roman"/>
          <w:sz w:val="18"/>
          <w:szCs w:val="18"/>
          <w:i w:val="1"/>
          <w:iCs w:val="1"/>
          <w:color w:val="auto"/>
        </w:rPr>
        <w:t>Note 6—Royalty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Financing Obligations—ORLADEYO and Factor D Inhibitors</w:t>
      </w:r>
      <w:r>
        <w:rPr>
          <w:rFonts w:ascii="Times New Roman" w:cs="Times New Roman" w:eastAsia="Times New Roman" w:hAnsi="Times New Roman"/>
          <w:sz w:val="18"/>
          <w:szCs w:val="18"/>
          <w:color w:val="auto"/>
        </w:rPr>
        <w:t>” in the Notes to Condensed Consolidated Financial Statements in Part I, Item 1 of this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additional information about these financing transactions.</w:t>
      </w:r>
    </w:p>
    <w:p>
      <w:pPr>
        <w:spacing w:after="0" w:line="150"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at September 30, 2024 were approximately $96.8 million in cash and cash equivalents and approximately $252.6 million in investments considered available-for-sale.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05"/>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period presented (in 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8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8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(153,750)</w:t>
            </w:r>
          </w:p>
        </w:tc>
      </w:tr>
      <w:tr>
        <w:trPr>
          <w:trHeight w:val="21"/>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nine months ended September 30, 2024, net cash used in operating activities of $46.8 million consisted primarily of a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$62.1 million and $76.0 million of changes in operating assets and liabilities, primarily due to a decrease in accounts payable and accrued expenses and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receivables, partially offset by $91.2 million of non-cash items, including $53.6 million of non-cash interest expense and $44.1 million of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compensation expense.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nine months ended September 30, 2023, net cash used in operating activities of $86.2 million consisted primarily of a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$164.8 million and $50.5 million of changes in operating assets and liabilities, primarily due to a decrease in accounts payable and accrued expenses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prepaid expenses and other assets, receivables, and inventory, partially offset by $129.1 million of non-cash items, including $66.3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interest expense, $39.1 million of stock-based compensation expense, and the loss on extinguishment of debt associated with the repayment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loans under the Athyrium Credit Agreement of $29.0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investing activities of $34.8 million primarily related to maturities of investment securities, partially offset by purchases of investment securities.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net cash used in investing activities of $103.0 million primarily related to purchases of investment securities, partially offset by maturities of investment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ind w:right="360"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net cash used in financing activities of $1.7 million primarily consisted of withholding taxes paid on stock-based awards and principal payments on finance lease liabilities, partially offset by net proceeds from common stock issued under stock-based compensation plans.</w:t>
      </w:r>
    </w:p>
    <w:p>
      <w:pPr>
        <w:spacing w:after="0" w:line="135"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net cash provided by financing activities of $35.7 million primarily consisted of net proceeds from the Pharmakon Loan Agreement and net proceeds from common stock issued under stock-based compensation plans, partially offset by the repayment of the secured term loans under the Athyrium Credit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contain costs and cash flow requirements by closely managing our third-party costs and headcount, leasing scientific equipment and facilities, and contracting with other parties to conduct certain research and development projects. In addition, we reduced the size of our research and development organization and postponed previously planned capital expenditures at our Discovery Center in Alabama in January 2024, which we believe is helping accelerate our path to profitability.</w:t>
      </w:r>
    </w:p>
    <w:p>
      <w:pPr>
        <w:spacing w:after="0" w:line="13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may incur additional expenses, potentially resulting in significant losses, as we continue to pursue our research and development activities, commercialize ORLADEYO, and hire additional personnel. We may incur additional expenses related to the filing, prosecution, maintenance, defense, and enforcement of patent and other intellectual property claims and additional regulatory costs as our clinical programs advance through later stages of development or as regulatory exclusivity for our products expires.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future, we may finance our needs principally from the following:</w:t>
      </w:r>
    </w:p>
    <w:p>
      <w:pPr>
        <w:spacing w:after="0" w:line="185" w:lineRule="exact"/>
        <w:rPr>
          <w:sz w:val="20"/>
          <w:szCs w:val="20"/>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capital resources and interest earned on that capital;</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product sales;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current or future collaborative and licensing agreements with corporate partners;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royalty, or loan financing;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or private equity and/or debt financing.</w:t>
      </w:r>
    </w:p>
    <w:p>
      <w:pPr>
        <w:spacing w:after="0" w:line="16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could increase our expenses.</w:t>
      </w:r>
    </w:p>
    <w:p>
      <w:pPr>
        <w:spacing w:after="0" w:line="14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expenses, revenues and cash utilization rate could vary significantly depending on many factors, including the development progress of our collaborative agreements for our product candidates, the amount of funding or assistance, if any, we receive from new partnerships with third parties for the development and/or commercialization of our products and product candidates, the amount and timing of funding we receive, if any, from U.S. Government contracts,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w:t>
      </w:r>
    </w:p>
    <w:p>
      <w:pPr>
        <w:spacing w:after="0" w:line="14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Based on our expectations for revenue and operating expenses, we believe our financial resources will be sufficient to fund our operations for at least the next 12 months. We have no immediate intentions to access the capital markets, and we did not draw down the additional debt available to us under the Pharmakon Loan Agreement. However, we have sustained operating losses for the majority of our corporate history and expect that our total 2024 expenses (including stock-based compensation expense) will exceed our total 2024 revenues. We expect to continue to incur operating losses and negative cash flows until revenues reach a level sufficient to support ongoing operations. Our liquidity needs will be largely determined by the success of operations in regard to the successful commercialization of our products and the future progression of our product candidates. We regularly evaluate other opportunities to fund future operations, including: (1)</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out-licensing rights to certain of our products or product candidates, pursuant to which we would receive cash milestone payments; (2)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our overhead structure; and/or (6) securing U.S. Government funding of our programs, including obtaining procurement contracts. We may, in the future,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research and development and commercial expenses; and key developments and regulatory events and our decisions in the future.</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long-term capital requirements and the adequacy of our available funds will depend upon many factors, including:</w:t>
      </w:r>
    </w:p>
    <w:p>
      <w:pPr>
        <w:spacing w:after="0" w:line="185" w:lineRule="exact"/>
        <w:rPr>
          <w:sz w:val="20"/>
          <w:szCs w:val="20"/>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approved products and successful commercialization of such products by either us or our partners;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perform under any government contracts and to receive reimbursement and stockpiling procurement contracts;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magnitude of our research, drug discovery and development programs;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collaborative relationships;</w:t>
      </w:r>
    </w:p>
    <w:p>
      <w:pPr>
        <w:spacing w:after="0" w:line="9" w:lineRule="exact"/>
        <w:rPr>
          <w:rFonts w:ascii="Times New Roman" w:cs="Times New Roman" w:eastAsia="Times New Roman" w:hAnsi="Times New Roman"/>
          <w:sz w:val="18"/>
          <w:szCs w:val="18"/>
          <w:color w:val="auto"/>
        </w:rPr>
      </w:pPr>
    </w:p>
    <w:p>
      <w:pPr>
        <w:ind w:left="1140" w:right="180" w:hanging="322"/>
        <w:spacing w:after="0" w:line="250"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collaborative relationships with academic institutions, biotechnology or pharmaceutical companies, and governmental agencies or other third parties;</w:t>
      </w:r>
    </w:p>
    <w:p>
      <w:pPr>
        <w:ind w:left="1140" w:right="140" w:hanging="322"/>
        <w:spacing w:after="0" w:line="250"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partners will share in the costs associated with the development of our programs or run the development programs themselves;</w:t>
      </w: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favorable development and marketing strategic alliances for certain products and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to build or expand internal development and commercial capabilities;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results of preclinical studies and clinical trials to identify and develop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sites and enroll subjects in our clinical trials;</w:t>
      </w:r>
    </w:p>
    <w:p>
      <w:pPr>
        <w:spacing w:after="0" w:line="9" w:lineRule="exact"/>
        <w:rPr>
          <w:rFonts w:ascii="Times New Roman" w:cs="Times New Roman" w:eastAsia="Times New Roman" w:hAnsi="Times New Roman"/>
          <w:sz w:val="18"/>
          <w:szCs w:val="18"/>
          <w:color w:val="auto"/>
        </w:rPr>
      </w:pPr>
    </w:p>
    <w:p>
      <w:pPr>
        <w:ind w:left="1140" w:right="160" w:hanging="322"/>
        <w:spacing w:after="0" w:line="250"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manufacturing of our products to support our commercial operations and of our product candidates to support our preclinical research and clinical trials;</w:t>
      </w: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personnel and related costs to support the development and commercialization of our products and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manufacturing of our drug substance and product candidates required for future new drug application (“NDA”) filings;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and technological advances;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commitments for ORLADEYO, peramivir, and other products that receive regulatory approval; and</w:t>
      </w:r>
    </w:p>
    <w:p>
      <w:pPr>
        <w:spacing w:after="0" w:line="9" w:lineRule="exact"/>
        <w:rPr>
          <w:rFonts w:ascii="Times New Roman" w:cs="Times New Roman" w:eastAsia="Times New Roman" w:hAnsi="Times New Roman"/>
          <w:sz w:val="18"/>
          <w:szCs w:val="18"/>
          <w:color w:val="auto"/>
        </w:rPr>
      </w:pPr>
    </w:p>
    <w:p>
      <w:pPr>
        <w:ind w:left="1140" w:right="840" w:hanging="322"/>
        <w:spacing w:after="0" w:line="260"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all aspects of intellectual property strategy and protection, including the costs involved in preparing, filing, prosecuting, maintaining, defending, and enforcing patent claims.</w:t>
      </w:r>
    </w:p>
    <w:p>
      <w:pPr>
        <w:spacing w:after="0" w:line="14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may, in the future, be required to raise additional capital to complete the development and commercialization of our products and product candidates, and we may seek to raise capital in the future, including to take advantage of favorable opportunities in the capital markets. Additional funding may not be available when needed or in the form or on terms acceptable to us. Our future working capital requirements, including the need for additional working capital, will largely be determined by the advancement of our portfolio of product candidates and the commercialization of ORLADEYO.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Relating to Our Business—Financial and Liquidity Risks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Relating to Our Business—Risks Relating to Drug Development and Commercialization—If we fail to obtain additional financing or acceptable partnership arrangements if and when needed, we may be unable to complete the development and commercialization of our products and product candidates or continue operations</w:t>
      </w:r>
      <w:r>
        <w:rPr>
          <w:rFonts w:ascii="Times New Roman" w:cs="Times New Roman" w:eastAsia="Times New Roman" w:hAnsi="Times New Roman"/>
          <w:sz w:val="18"/>
          <w:szCs w:val="18"/>
          <w:color w:val="auto"/>
        </w:rPr>
        <w:t>” in Part II, Item 1A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for further discussion of the risks related to obtaining additional capital.</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have established various accounting policies that govern the application of U.S. GAAP, which were utilized in the preparation of our condensed consolidated financial statements. Certain accounting policies involve significant judgments and assumptions by management that have or are reasonably likely to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spacing w:after="0" w:line="14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w:t>
      </w:r>
      <w:r>
        <w:rPr>
          <w:rFonts w:ascii="Times New Roman" w:cs="Times New Roman" w:eastAsia="Times New Roman" w:hAnsi="Times New Roman"/>
          <w:sz w:val="18"/>
          <w:szCs w:val="18"/>
          <w:i w:val="1"/>
          <w:iCs w:val="1"/>
          <w:color w:val="auto"/>
        </w:rPr>
        <w:t>Note 1—Significant Accounting Policies and Concentrations of Risk</w:t>
      </w:r>
      <w:r>
        <w:rPr>
          <w:rFonts w:ascii="Times New Roman" w:cs="Times New Roman" w:eastAsia="Times New Roman" w:hAnsi="Times New Roman"/>
          <w:sz w:val="18"/>
          <w:szCs w:val="18"/>
          <w:color w:val="auto"/>
        </w:rPr>
        <w:t>” in the Notes to Condensed Consolidated Financial Statements in Part I, Item 1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43"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00"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principal sources of product sales are sales of ORLADEYO, which we began shipping to patients in December 2020 and sales of peramivir. In the United States, we generally ship ORLADEYO directly to patients through a single specialty pharmacy, which is considered our customer. In the European Union, United Kingdom, Canada, Latin America, and elsewhere, we sell ORLADEYO to specialty distributors as well as to hospitals and pharmacies, which collectively are considered our customers.</w:t>
      </w:r>
    </w:p>
    <w:p>
      <w:pPr>
        <w:spacing w:after="0" w:line="13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recognize revenue for sales when our customers obtain control of the product, which generally occurs upon delivery. For ORLADEYO, we classify payments to our specialty pharmacy customer for certain services provided by this customer as selling, general and administrative expenses to the extent such services provided are determined to be distinct from the sale of our product.</w:t>
      </w:r>
    </w:p>
    <w:p>
      <w:pPr>
        <w:spacing w:after="0" w:line="135"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our best estimates of the amount of consideration to which we are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estimates, we adjust these estimates, which would affect net product revenue and earnings in the period such variances become known.</w:t>
      </w:r>
    </w:p>
    <w:p>
      <w:pPr>
        <w:spacing w:after="0" w:line="15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Government and Managed Care Rebates</w:t>
      </w:r>
      <w:r>
        <w:rPr>
          <w:rFonts w:ascii="Times New Roman" w:cs="Times New Roman" w:eastAsia="Times New Roman" w:hAnsi="Times New Roman"/>
          <w:sz w:val="18"/>
          <w:szCs w:val="18"/>
          <w:color w:val="auto"/>
        </w:rPr>
        <w:t>. We contract with government agencies and managed care organizations or, collectively, third-party payors,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These reserves are recorded in the same</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period in which the revenue is recognized, resulting in a reduction of product revenue and the establishment of a current liability. We estimate the rebates that we will provide to third-party payors based upon (i) our contracts with these third-party payors, (ii) the government mandated discounts applicable to government-funded programs, (iii) a range of possible outcomes that are probability-weighted for the estimated payor mix, and (iv) product distribution information obtained from our specialty pharmacy.</w:t>
      </w:r>
    </w:p>
    <w:p>
      <w:pPr>
        <w:spacing w:after="0" w:line="15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discounts that occur when certain contracted customers, pharmacy benefit managers, insurance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purchase directly from our specialty pharmacy. These customers purchase our product under contracts negotiated between them and our specialty pharmacy. The specialty pharmacy, in turn, charges back to us the difference between the price that the specialty pharmacy paid and the negotiated price paid by the contracted customers, which may be higher or lower than the specialty pharmacy’s purchase price with us. We estimate chargebacks and adjust gross product revenues and establish a current liability based on the estimates at the time revenues are recognized.</w:t>
      </w:r>
    </w:p>
    <w:p>
      <w:pPr>
        <w:spacing w:after="0" w:line="143"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Co-payment assistance and patient assistance programs</w:t>
      </w:r>
      <w:r>
        <w:rPr>
          <w:rFonts w:ascii="Times New Roman" w:cs="Times New Roman" w:eastAsia="Times New Roman" w:hAnsi="Times New Roman"/>
          <w:sz w:val="18"/>
          <w:szCs w:val="18"/>
          <w:color w:val="auto"/>
        </w:rPr>
        <w:t>. 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Based upon the terms of the program and co-payment assistance utilization reports received from the specialty pharmacy, we are able to estimate the co-payment assistance amounts, which are recorded in the same period in which the related revenue is recognized, resulting in a reduction of product revenue.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spacing w:after="0" w:line="142"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We do not provide contractual return rights to our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and Other Revenues</w:t>
      </w:r>
    </w:p>
    <w:p>
      <w:pPr>
        <w:spacing w:after="0" w:line="187"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We have collaboration and license agreements with a number of third parties. Our primary sources of revenue from these collaborative and other research and development arrangements are license, service and royalty revenues.</w:t>
      </w:r>
    </w:p>
    <w:p>
      <w:pPr>
        <w:spacing w:after="0" w:line="121"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spacing w:after="0" w:line="14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inventory primarily relates to ORLADEYO. Additionally, our inventory includes peramivir.</w:t>
      </w:r>
    </w:p>
    <w:p>
      <w:pPr>
        <w:spacing w:after="0" w:line="18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value our inventory at the lower of cost or estimated net realizable value. We determine the cost of our inventory on a first-in, first-out (FIFO) basis. Raw materials and work-in-process include all inventory costs prior to packaging and labeling, including raw material, active product ingredient, and the drug product. Finished goods include packaged and labeled products. We classify inventory as long-term when consumption or sale of the inventory is not expected to occur within 12 months from the balance sheet date.</w:t>
      </w:r>
    </w:p>
    <w:p>
      <w:pPr>
        <w:spacing w:after="0" w:line="153"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inventory is subject to expiration dating. At each reporting date, we evaluate the carrying value of our inventory and provide valuation reserves for any estimated obsolete, short-dated or unmarketable inventory. In addition, we may experience spoilage of our raw materials and supplies. Our determination that a valuation reserve might be required, in addition to the quantification of such reserve, requires us to utilize significant judgment.</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expense costs related to the production of inventory as research and development expenses in the period incurred until such time it is believed that future economic benefit is expected to be recognized, which generally is reliant upon receipt of regulatory approval. Upon regulatory approval, we capitalize subsequent costs related to the production of inventory.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Related Accruals</w:t>
      </w:r>
    </w:p>
    <w:p>
      <w:pPr>
        <w:spacing w:after="0" w:line="202"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include, among other items, personnel costs, including salaries and benefits, manufacturing costs, clinical, regulatory, and toxicology services performed by clinical research organizations (“CROs”), materials and supplies, and overhead allocations consisting of various administrative and facilities related costs, as well as termination fees and other commitments associated with discontinued programs. Most of our manufacturing and clinical and preclinical studies are performed by third-party CROs. Our research and development costs are charged to expense when incurred. Research and development expenses include all direct and indirect development costs related to the development of our portfolio of product candidates.</w:t>
      </w:r>
    </w:p>
    <w:p>
      <w:pPr>
        <w:spacing w:after="0" w:line="14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Additionally, we have license agreements with third parties, such as Albert Einstein College of Medicine of Yeshiva University, Industrial Research, Ltd., and the University of Alabama at Birmingham (“UAB”), which require fees related to sublicense agreements. We accrue sublicense expenses as incurred.</w:t>
      </w:r>
    </w:p>
    <w:p>
      <w:pPr>
        <w:spacing w:after="0" w:line="135"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We group our research and development expenses into two major categories: direct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our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our research and development efforts. These costs apply to work on non-active product candidates and our discovery research efforts.</w:t>
      </w:r>
    </w:p>
    <w:p>
      <w:pPr>
        <w:spacing w:after="0" w:line="162"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and third-party vendors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periodically confirm the accuracy of our estimates with the service providers and make adjustments if necessary. When evaluating the adequacy of accrued expenses, we consider facts and circumstances known to us at the time, which can include assumptions such as expected patient enrollment, site activation and estimated project duration. Examples of estimated accrued research and development expenses include (i) fees paid to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financial terms of our agreements are subject to negotiation, vary from contract to contract and may result in uneven payment flows. Payments under some of these contracts depend on factors such as the successful enrollment of patients and the completion of milestones. We record liabilities under these contractual commitments when we determine an obligation has been incurred, regardless of the timing of the invoice. In expensing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All share-based payments, including grants of stock option awards and restricted stock unit awards, are recognized in our Condensed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 utilize the Black-Scholes option-pricing model to value our stock option awards and recognize compensation expense on a straight-line basis over the vesting periods. We reduce stock-based compensation expense for estimated forfeitures.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and restricted stock units for which no compensation expense is recognized until “performance” is deemed to have occurred. Significant management judgment is also required in determining estimates of future stock price volatility and forfeitures to be used in the valuation of the options. Actual results, and future changes in estimates, may differ substantially from our current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Royalty Financing Obligations</w:t>
      </w:r>
    </w:p>
    <w:p>
      <w:pPr>
        <w:spacing w:after="0" w:line="202"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The royalty financing obligations are eligible to be repaid based on royalties from net sales of ORLADEYO and BCX10013. Interest expense is accrued using the effective interest rate method over the estimated period each of the related liabilities will be paid. This requires us to estimate the total amount of future royalty payments to be generated from product sales over the life of the agreement. We impute interest on the carrying value of each of the royalty financing obligations and record interest expense using an imputed effective interest rate. We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liability method is used in our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4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We account for uncertain tax positions in accordance with U.S. GAAP. 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taxable income in each of the jurisdictions in which we operate and the period over which our deferred tax assets will be recoverable.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1—Significant Accounting Policies and Concentrations of Risk</w:t>
      </w:r>
      <w:r>
        <w:rPr>
          <w:rFonts w:ascii="Times New Roman" w:cs="Times New Roman" w:eastAsia="Times New Roman" w:hAnsi="Times New Roman"/>
          <w:sz w:val="18"/>
          <w:szCs w:val="18"/>
          <w:color w:val="auto"/>
        </w:rPr>
        <w:t>” in the Notes to Condensed Consolidated Financial Statements included in Part I, Item 1 of this report discusses accounting pronouncements recently issued or proposed but not yet required to be adopted.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ind w:right="200" w:firstLine="486"/>
        <w:spacing w:after="0" w:line="255" w:lineRule="auto"/>
        <w:rPr>
          <w:sz w:val="20"/>
          <w:szCs w:val="20"/>
          <w:color w:val="auto"/>
        </w:rPr>
      </w:pPr>
      <w:r>
        <w:rPr>
          <w:rFonts w:ascii="Times New Roman" w:cs="Times New Roman" w:eastAsia="Times New Roman" w:hAnsi="Times New Roman"/>
          <w:sz w:val="18"/>
          <w:szCs w:val="18"/>
          <w:color w:val="auto"/>
        </w:rPr>
        <w:t>We are subject to interest rate risk on our investment portfolio and borrowings under our Pharmakon Loan Agreement. The Tranche A Loan under the Pharmakon Loan Agreement accrues interest each quarter at a rate equal to the three-month Secured Overnight Financing Rate (“SOFR”), which is capped to be no less than 1.75%, plus 7.00% or, for each quarterly interest period in which a Pharmakon PIK Interest Payment (as defined in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Debt—Pharmakon Loan Agreement</w:t>
      </w:r>
      <w:r>
        <w:rPr>
          <w:rFonts w:ascii="Times New Roman" w:cs="Times New Roman" w:eastAsia="Times New Roman" w:hAnsi="Times New Roman"/>
          <w:sz w:val="18"/>
          <w:szCs w:val="18"/>
          <w:color w:val="auto"/>
        </w:rPr>
        <w:t>” in the Notes to the Condensed Consolidated Financial Statements included in Part I, Item 1 of this report) is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SOFR plus 7.25%. Accordingly, increases in interest rates will increase the associated interest payments that we are required to make on the Tranche A Loan. For the three months ended September 30, 2024, interest was accrued at an effective rate of 13.34% on the $300.0 million borrowing under the Pharmakon Loan Agreement.</w:t>
      </w:r>
    </w:p>
    <w:p>
      <w:pPr>
        <w:spacing w:after="0" w:line="148"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spacing w:after="0" w:line="15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spacing w:after="0" w:line="14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0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Most of our revenues and expenses are denominated in U.S. dollars. Our commercial sales in Europe are primarily denominated in Euros and the British Pound, and our royalties from Torii are in Japanese Yen. We also had other transactions denominated in foreign currencies during the nine months ended September 30, 2024, primarily related to operations in Europe, contract manufacturing and ex-U.S. clinical trial activities, and we expect to continue to do so. Our limited foreign currency exposure relative to our European operations is to fluctuations in the Euro, British Pound, Swiss Franc, Danish Krone, Swedish Krona, and Norwegian Krone. Additionally, we have operations in Canada and have foreign currency exposure relative to the Canadian Dollar.</w:t>
      </w:r>
    </w:p>
    <w:p>
      <w:pPr>
        <w:spacing w:after="0" w:line="147" w:lineRule="exact"/>
        <w:rPr>
          <w:sz w:val="20"/>
          <w:szCs w:val="20"/>
          <w:color w:val="auto"/>
        </w:rPr>
      </w:pPr>
    </w:p>
    <w:p>
      <w:pPr>
        <w:jc w:val="both"/>
        <w:ind w:right="420" w:firstLine="486"/>
        <w:spacing w:after="0" w:line="266" w:lineRule="auto"/>
        <w:rPr>
          <w:sz w:val="20"/>
          <w:szCs w:val="20"/>
          <w:color w:val="auto"/>
        </w:rPr>
      </w:pPr>
      <w:r>
        <w:rPr>
          <w:rFonts w:ascii="Times New Roman" w:cs="Times New Roman" w:eastAsia="Times New Roman" w:hAnsi="Times New Roman"/>
          <w:sz w:val="18"/>
          <w:szCs w:val="18"/>
          <w:color w:val="auto"/>
        </w:rPr>
        <w:t>We do not anticipate that foreign currency transaction gains or losses will be significant at our current level of operations. However, transaction gains or losses may become significant in the future as we continue to expand our operations internationally. We have not engaged in foreign currency hedging during the nine months ended September 30, 2024; however, we may do so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02"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Inflation generally impacts us by potentially increasing our operating expenses, including cost of product sales, clinical trial costs and selling activities. We do not believe that inflation has had a material impact on our business or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results of operations during the periods for which the condensed consolidated financial statements are presented in this report. Significant adverse changes in inflation could negatively impact our future results of operations.</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maintain a set of disclosure controls and procedures that are designed to ensure that information relating to the Company required to be disclosed in our periodic filings under the Exchange Act is recorded, processed, summarized and reported in a timely manner under the Exchange Act. We carried out an evaluation,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September 30, 2024, the Company’s disclosure controls and procedures are effective to ensure that information required to be disclosed by the Company in the reports filed or submitted by it under the Exchange Act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material weakness that we reported last quarter has been remediated.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September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and Liquidity Risks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since our inception and may never be profitable.</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Since our inception, we have not achieved sustained profitability. Our expectations as to when we may achieve profitability may change based upon our ability to execute our commercialization goals and operational initiatives and whether or not the assumptions underlying our projected revenues and expenses are correct. Our beliefs and projections regarding the attainment of our financial goals may differ from actual results based on market factors like competition, patient and physician acceptance of our products, reimbursement levels, or on our ability to execute our operational and budget plans, including management’s ability to properly forecast our capital allocation needs. To achieve and maintain profitability, we, or our collaborative partners, must successfully manufacture and develop products and product candidates, receive regulatory approvals, and successfully commercialize our products and/or enter into profitable commercialization arrangements with other parties.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under the Royalty Purchase Agreements (as defined in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Royalty Financing Obligations—ORLADEYO and Factor D Inhibitors</w:t>
      </w:r>
      <w:r>
        <w:rPr>
          <w:rFonts w:ascii="Times New Roman" w:cs="Times New Roman" w:eastAsia="Times New Roman" w:hAnsi="Times New Roman"/>
          <w:sz w:val="18"/>
          <w:szCs w:val="18"/>
          <w:color w:val="auto"/>
        </w:rPr>
        <w:t>” in the Notes to Condensed Consolidated Financial Statements in Part I, Item 1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report), may reduce the profitability of such products.</w:t>
      </w:r>
    </w:p>
    <w:p>
      <w:pPr>
        <w:spacing w:after="0" w:line="16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on our anticipated timeline, or at all, the market value of our common stock will likely decline.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If we are unable to raise capital if and when needed, we may need to adjust our operations.</w:t>
      </w:r>
    </w:p>
    <w:p>
      <w:pPr>
        <w:spacing w:after="0" w:line="189" w:lineRule="exact"/>
        <w:rPr>
          <w:sz w:val="20"/>
          <w:szCs w:val="20"/>
          <w:color w:val="auto"/>
        </w:rPr>
      </w:pPr>
    </w:p>
    <w:p>
      <w:pPr>
        <w:ind w:right="480" w:firstLine="486"/>
        <w:spacing w:after="0" w:line="266" w:lineRule="auto"/>
        <w:rPr>
          <w:sz w:val="20"/>
          <w:szCs w:val="20"/>
          <w:color w:val="auto"/>
        </w:rPr>
      </w:pPr>
      <w:r>
        <w:rPr>
          <w:rFonts w:ascii="Times New Roman" w:cs="Times New Roman" w:eastAsia="Times New Roman" w:hAnsi="Times New Roman"/>
          <w:sz w:val="18"/>
          <w:szCs w:val="18"/>
          <w:color w:val="auto"/>
        </w:rPr>
        <w:t>We have sustained operating losses for the majority of our corporate history and expect that our total 2024 expenses (including stock-based compensation expense) will exceed our total 2024 revenues. We expect to continue to incur operating losses and negative cash flows unless and until revenues reach a level sufficient to support ongoing operations.</w:t>
      </w:r>
    </w:p>
    <w:p>
      <w:pPr>
        <w:spacing w:after="0" w:line="149" w:lineRule="exact"/>
        <w:rPr>
          <w:sz w:val="20"/>
          <w:szCs w:val="20"/>
          <w:color w:val="auto"/>
        </w:rPr>
      </w:pPr>
    </w:p>
    <w:p>
      <w:pPr>
        <w:ind w:right="80" w:firstLine="486"/>
        <w:spacing w:after="0" w:line="252" w:lineRule="auto"/>
        <w:rPr>
          <w:sz w:val="20"/>
          <w:szCs w:val="20"/>
          <w:color w:val="auto"/>
        </w:rPr>
      </w:pPr>
      <w:r>
        <w:rPr>
          <w:rFonts w:ascii="Times New Roman" w:cs="Times New Roman" w:eastAsia="Times New Roman" w:hAnsi="Times New Roman"/>
          <w:sz w:val="18"/>
          <w:szCs w:val="18"/>
          <w:color w:val="auto"/>
        </w:rPr>
        <w:t>Even if we are able to achieve profitability, in order to continue future operations, progress our drug discovery and development programs, and commercialize our current products and product candidates, we may be required to raise additional capital in the future. In addition to seeking strategic partnerships and transactions, we may access the equity or debt markets, incur additional borrowings, pursue royalty or other monetization transactions,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or from other sources, may not be available if or when needed or in a form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the Pharmakon Loan Agreement (as defined below). In addition, collaborative arrangements may require us to transfer certain material rights to our corporate partners. Insufficient funds or lack of an acceptable partnership may require us to delay, scale-back or eliminate certain of our research and development programs. See “</w:t>
      </w:r>
      <w:r>
        <w:rPr>
          <w:rFonts w:ascii="Times New Roman" w:cs="Times New Roman" w:eastAsia="Times New Roman" w:hAnsi="Times New Roman"/>
          <w:sz w:val="18"/>
          <w:szCs w:val="18"/>
          <w:i w:val="1"/>
          <w:iCs w:val="1"/>
          <w:color w:val="auto"/>
        </w:rPr>
        <w:t>Risks Relating to Our Business—Risks Relating to Drug Development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Commercialization—If we fail to obtain additional financing or acceptable partnership arrangements if and when needed, we may be unable to complete the development and commercialization of our products and product candidates or continue operations</w:t>
      </w:r>
      <w:r>
        <w:rPr>
          <w:rFonts w:ascii="Times New Roman" w:cs="Times New Roman" w:eastAsia="Times New Roman" w:hAnsi="Times New Roman"/>
          <w:sz w:val="18"/>
          <w:szCs w:val="18"/>
          <w:color w:val="auto"/>
        </w:rPr>
        <w:t>” in this section for further discussion of the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our development and commercialization efforts.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486"/>
        <w:spacing w:after="0" w:line="277" w:lineRule="auto"/>
        <w:rPr>
          <w:sz w:val="20"/>
          <w:szCs w:val="20"/>
          <w:color w:val="auto"/>
        </w:rPr>
      </w:pPr>
      <w:r>
        <w:rPr>
          <w:rFonts w:ascii="Times New Roman" w:cs="Times New Roman" w:eastAsia="Times New Roman" w:hAnsi="Times New Roman"/>
          <w:sz w:val="17"/>
          <w:szCs w:val="17"/>
          <w:color w:val="auto"/>
        </w:rPr>
        <w:t>Our liquidity needs will largely be determined by the success of operations in regard to the commercialization of our products, particularly ORLADEYO, the progression of our product candidates in the future, and our ability to execute our budget plans. Our current plans for managing our liquidity needs primarily include controlling the timing and spending on our research and development programs and commercializing our approved products. See “</w:t>
      </w:r>
      <w:r>
        <w:rPr>
          <w:rFonts w:ascii="Times New Roman" w:cs="Times New Roman" w:eastAsia="Times New Roman" w:hAnsi="Times New Roman"/>
          <w:sz w:val="17"/>
          <w:szCs w:val="17"/>
          <w:i w:val="1"/>
          <w:iCs w:val="1"/>
          <w:color w:val="auto"/>
        </w:rPr>
        <w:t>Management’s Discussion and Analysis of Financial Condition and Results of Operations—Liquidity and Capital Resources</w:t>
      </w:r>
      <w:r>
        <w:rPr>
          <w:rFonts w:ascii="Times New Roman" w:cs="Times New Roman" w:eastAsia="Times New Roman" w:hAnsi="Times New Roman"/>
          <w:sz w:val="17"/>
          <w:szCs w:val="17"/>
          <w:color w:val="auto"/>
        </w:rPr>
        <w:t>” in Part I, Item 2 of this report for additional information about our liquidity needs, capital requirements, potential funding alternatives, and adequacy of available funds.</w:t>
      </w:r>
    </w:p>
    <w:p>
      <w:pPr>
        <w:spacing w:after="0" w:line="141"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of our plans will be successful or that additional capital will be available to us on reasonable terms, or at all, if needed. If we are unable to obtain sufficient additional capital if and when needed, we may be forced to adjust or curtail our operations; delay, reduce, or stop ongoing clinical trials or commercialization efforts; cease operations altogether; or file for bankruptcy.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Drug Development and Commercialization</w:t>
      </w:r>
    </w:p>
    <w:p>
      <w:pPr>
        <w:spacing w:after="0" w:line="18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w:t>
      </w:r>
    </w:p>
    <w:p>
      <w:pPr>
        <w:spacing w:after="0" w:line="132"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upon our ability to manage our product candidate pipeline, including through expanding the pipeline, as appropriate, through our internal identification and discovery of product candidates or otherwise in-licensing or acquiring products or product candidates and integrating them into our business effectively and efficiently; advancing our product candidates through the various stages of development; and receiving regulatory approvals for the commercial sale of our product candidates. Identifying, selecting, and in-licensing or acquiring products or product candidates requires substantial expense and technical and financial expertise, and if we are unable to effectively manage our pipeline or integrate viable products or product candidates into our business on acceptable terms, or at all, our business and drug development efforts could suffer.</w:t>
      </w:r>
    </w:p>
    <w:p>
      <w:pPr>
        <w:spacing w:after="0" w:line="147"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or industry standards, or a determination by the U.S. Food and Drug Administration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w:t>
      </w:r>
    </w:p>
    <w:p>
      <w:pPr>
        <w:spacing w:after="0" w:line="154"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as well as an adequate benefit-risk profile. Failure to achieve any of these endpoints or to show adequate benefit-risk profile in any of our programs, including our complement program and our other rare disease product candidates (including the additional therapies in our pipeline described in “</w:t>
      </w:r>
      <w:r>
        <w:rPr>
          <w:rFonts w:ascii="Times New Roman" w:cs="Times New Roman" w:eastAsia="Times New Roman" w:hAnsi="Times New Roman"/>
          <w:sz w:val="18"/>
          <w:szCs w:val="18"/>
          <w:i w:val="1"/>
          <w:iCs w:val="1"/>
          <w:color w:val="auto"/>
        </w:rPr>
        <w:t>Management’s Discussion and Analysis of Financial Condition and Results of Operations—Overview—Products and Product Candidates</w:t>
      </w:r>
      <w:r>
        <w:rPr>
          <w:rFonts w:ascii="Times New Roman" w:cs="Times New Roman" w:eastAsia="Times New Roman" w:hAnsi="Times New Roman"/>
          <w:sz w:val="18"/>
          <w:szCs w:val="18"/>
          <w:color w:val="auto"/>
        </w:rPr>
        <w:t>” in Part I, Item 2 of this report), could result in delays in, modifications to, or discontinuations of our trials or require the performance of additional unplanned trials. For example, dose-related observations in a BCX10013 nonclinical study reported in 2023 delayed the clinical program.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benefit-risk perspective. Product candidates that initially show promise in clinical or preclinical testing could later be found to be associated with or to cause undesirable or unexpected side effects that could result in substantial modifications or delays in the development plans for our product candidates, significant unexpected costs, or the termination of programs, such as we experienced with BCX9930 in 2022 prior to discontinuing its development later that year. In addition, the development plans for our product candidates, including our clinical trials, may not be adequately designed or executed, which could negatively affect the outcome and analysis of study results.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Because of the cost and duration of clinical trials, we have decided in the past, and may in the future decide, to discontinue development of product candidates for various reasons, including, but not limited to, that they are unlikely to show favorable results in clinical trials, unlikely to help advance a product to the point of a meaningful collaboration, or unlikely to have reasonable commercial potential. For example, following the completion of our clinical evaluation of BCX10013, we announced on August 5, 2024 that we plan to discontinue development, which may subject us to certain risks.</w:t>
      </w:r>
    </w:p>
    <w:p>
      <w:pPr>
        <w:spacing w:after="0" w:line="15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Undesirable or inconclusive data in our preclinical studies and clinical trials or side effects in humans could result in the FDA or foreign regulatory authorities (including, e.g., the European Medicines Agency (“EMA”), the Ministry of Health, Labor and Welfare (“MHLW”) in Japan or the United Kingdom’s Medicines and Healthcare products Regulatory Agency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ability to complete the clinical development process successfully is dependent upon many factors, including, but not limited to:</w:t>
      </w:r>
    </w:p>
    <w:p>
      <w:pPr>
        <w:spacing w:after="0" w:line="185" w:lineRule="exact"/>
        <w:rPr>
          <w:sz w:val="20"/>
          <w:szCs w:val="20"/>
          <w:color w:val="auto"/>
        </w:rPr>
      </w:pPr>
    </w:p>
    <w:p>
      <w:pPr>
        <w:ind w:left="1140" w:right="120" w:hanging="322"/>
        <w:spacing w:after="0" w:line="261"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ability to secure suitable clinical sites and investigators and to enroll and maintain an adequate number of patients on a timely basis or at all;</w:t>
      </w:r>
    </w:p>
    <w:p>
      <w:pPr>
        <w:ind w:left="1140" w:right="540" w:hanging="322"/>
        <w:spacing w:after="0" w:line="25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a clinical trial may not comply with the clinical trial protocols or maintain contact with investigators to provide complete data during and after treatment;</w:t>
      </w:r>
    </w:p>
    <w:p>
      <w:pPr>
        <w:ind w:left="1140" w:right="380" w:hanging="322"/>
        <w:spacing w:after="0" w:line="25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prove to be either safe or effective for our targeted indications, or at all, or may produce unfavorable or inconclusive results;</w:t>
      </w:r>
    </w:p>
    <w:p>
      <w:pPr>
        <w:ind w:left="1140" w:right="120" w:hanging="322"/>
        <w:spacing w:after="0" w:line="25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evolving guidance, or findings of undesirable effects caused by a chemically or mechanistically similar product or product candidate;</w:t>
      </w:r>
    </w:p>
    <w:p>
      <w:pPr>
        <w:spacing w:after="0" w:line="1"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disagree with our or our partners’ clinical trial protocols or our or their interpretation of data from preclinical studies and clinical trials;</w:t>
      </w: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protocols or study procedures may not be adequately designed or followed by the investigators;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improvements may not work as expected, which could negatively impact commercial demand for our product candidates;</w:t>
      </w:r>
    </w:p>
    <w:p>
      <w:pPr>
        <w:spacing w:after="0" w:line="9" w:lineRule="exact"/>
        <w:rPr>
          <w:rFonts w:ascii="Times New Roman" w:cs="Times New Roman" w:eastAsia="Times New Roman" w:hAnsi="Times New Roman"/>
          <w:sz w:val="18"/>
          <w:szCs w:val="18"/>
          <w:color w:val="auto"/>
        </w:rPr>
      </w:pPr>
    </w:p>
    <w:p>
      <w:pPr>
        <w:ind w:left="1140" w:right="900" w:hanging="322"/>
        <w:spacing w:after="0" w:line="25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fail to approve or subsequently find fault with the manufacturing processes or facilities of third-party manufacturers with which we or our partners enter into agreements for clinical and commercial supplies;</w:t>
      </w:r>
    </w:p>
    <w:p>
      <w:pPr>
        <w:ind w:left="1140" w:right="160" w:hanging="322"/>
        <w:spacing w:after="0" w:line="265" w:lineRule="auto"/>
        <w:tabs>
          <w:tab w:leader="none" w:pos="11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ind w:left="1140" w:right="360" w:hanging="322"/>
        <w:spacing w:after="0" w:line="25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development plans may be delayed or changed as a result of changes in development strategy, the impact of new or different regulations, requirements, and guidelines, or other unexpected events or conditions;</w:t>
      </w: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preclinical studies and clinical trials may be greater than we anticipate;</w:t>
      </w:r>
    </w:p>
    <w:p>
      <w:pPr>
        <w:spacing w:after="0" w:line="9" w:lineRule="exact"/>
        <w:rPr>
          <w:rFonts w:ascii="Times New Roman" w:cs="Times New Roman" w:eastAsia="Times New Roman" w:hAnsi="Times New Roman"/>
          <w:sz w:val="18"/>
          <w:szCs w:val="18"/>
          <w:color w:val="auto"/>
        </w:rPr>
      </w:pPr>
    </w:p>
    <w:p>
      <w:pPr>
        <w:ind w:left="1140" w:right="120" w:hanging="322"/>
        <w:spacing w:after="0" w:line="25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global health pandemic, such as COVID-19, on one or more of the foregoing factors.</w:t>
      </w:r>
    </w:p>
    <w:p>
      <w:pPr>
        <w:spacing w:after="0" w:line="180"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Clinical trials are lengthy and expensive. Many of the factors listed above could result in increased clinical development costs or longer clinical development times for any of our programs. We and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product candidates, we or our partners might not file the required regulatory submissions in a timely manner or may not receive regulatory approval for the product candidates, which in either case would adversely impact or preclude our ability to generate any revenues from product sales or licensing arrangements. In addition, any product candidate, if approved, may be subject to restrictions on labeling, marketing, distribution, prescribing, and use, which could adversely impact the sales of such product.</w:t>
      </w:r>
    </w:p>
    <w:p>
      <w:pPr>
        <w:spacing w:after="0" w:line="14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development collaborations with third parties, such as our development partners, contractors and contract research organizations, fail, the development of our product candidates will be delayed or stopped.</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rely heavily upon third parties for many important stages of our product candidate development, including, but not limited to:</w:t>
      </w:r>
    </w:p>
    <w:p>
      <w:pPr>
        <w:spacing w:after="0" w:line="185" w:lineRule="exact"/>
        <w:rPr>
          <w:sz w:val="20"/>
          <w:szCs w:val="20"/>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natural proteins that cause or enable biological reactions necessary for the progression of the disease or disorder;</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certain pharmacology preclinical studies and late-stage development for our compounds and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our phase 1, 2 and 3 clinical trials, including medical monitoring, laboratory testing, and data management;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toxicology studies that may be required to obtain approval for our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improvement strategies and methods;</w:t>
      </w:r>
    </w:p>
    <w:p>
      <w:pPr>
        <w:spacing w:after="0" w:line="9" w:lineRule="exact"/>
        <w:rPr>
          <w:rFonts w:ascii="Times New Roman" w:cs="Times New Roman" w:eastAsia="Times New Roman" w:hAnsi="Times New Roman"/>
          <w:sz w:val="18"/>
          <w:szCs w:val="18"/>
          <w:color w:val="auto"/>
        </w:rPr>
      </w:pPr>
    </w:p>
    <w:p>
      <w:pPr>
        <w:ind w:left="1140" w:right="340" w:hanging="322"/>
        <w:spacing w:after="0" w:line="250"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the starting materials and drug substance required to formulate our products and the product candidates to be used in our clinical trials, toxicology studies and any potential commercial product; and</w:t>
      </w: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certain regulatory interactions outside of the United States.</w:t>
      </w:r>
    </w:p>
    <w:p>
      <w:pPr>
        <w:spacing w:after="0" w:line="18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failure to engage in successful collaborations at any one of these stages would greatly impact our business. If we do not license protein targets or inhibitors from academic institutions or from other biotechnology companies on acceptable terms, or at all, our drug development efforts could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(including clinical operation services) in connection with our clinical trials, provide medical writing services,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spacing w:after="0" w:line="148"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is realized, our business, financial condition and results of operations could be materially adversely affected.</w:t>
      </w:r>
    </w:p>
    <w:p>
      <w:pPr>
        <w:spacing w:after="0" w:line="14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financing or acceptable partnership arrangements if and when needed, we may be unable to complete the development and commercialization of our products and product candidates or continue operations.</w:t>
      </w:r>
    </w:p>
    <w:p>
      <w:pPr>
        <w:spacing w:after="0" w:line="132"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As our programs advance, our costs could increase. Our current and planned discovery, development, approval, and commercialization efforts may require significant capital. Our expenses, revenues and cash utilization rate could vary significantly depending on many factors, including: our ability to effectively manage our product candidate pipeline; our ability to obtain regulatory approvals for our product candidates; our ability to maintain regulatory approvals for, successfully commercialize, and achieve market acceptance of our products, including ORLADEYO; our ability to raise additional capital if needed; our ability to secure partnerships with third parties for our product candidates when deemed advisable; the amount of funding we receive from partnerships with third parties for the development and commercialization of our products and product candidates; the commercial success of our products achieved by our partners; the progress and results of our current and proposed clinical trials for our product candidates; and the progress made in the manufacture of our lead products and the progression of our other programs. There can be no assurance that we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able to successfully secure a partnership for our product candidates when deemed advisable on terms that are acceptable to us, or at all.</w:t>
      </w:r>
    </w:p>
    <w:p>
      <w:pPr>
        <w:spacing w:after="0" w:line="19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order to continue future operations, progress our drug discovery and development programs, and commercialize our current products and product candidates, we may be required to raise additional capital. Our ability to raise additional capital if and when needed may be limited and may greatly depend upon our sustained success in commercializing and achieving market acceptance of ORLADEYO and the success of our current drug development programs, including the progress, timeline and ultimate outcome of the development programs (including, but not limited to, formulation progress, long-term human safety studies, clinical trial investigations, and carcinogenicity, drug-drug interaction, toxicity, or other required studies) for our complement program for diseases of the complement system and other rare disease product candidates (including the additional therapies in our pipeline described in “</w:t>
      </w:r>
      <w:r>
        <w:rPr>
          <w:rFonts w:ascii="Times New Roman" w:cs="Times New Roman" w:eastAsia="Times New Roman" w:hAnsi="Times New Roman"/>
          <w:sz w:val="18"/>
          <w:szCs w:val="18"/>
          <w:i w:val="1"/>
          <w:iCs w:val="1"/>
          <w:color w:val="auto"/>
        </w:rPr>
        <w:t>Management’s Discussion and Analysis of Financial Condition and Results of Operations—Overview—Products and Product Candidates</w:t>
      </w:r>
      <w:r>
        <w:rPr>
          <w:rFonts w:ascii="Times New Roman" w:cs="Times New Roman" w:eastAsia="Times New Roman" w:hAnsi="Times New Roman"/>
          <w:sz w:val="18"/>
          <w:szCs w:val="18"/>
          <w:color w:val="auto"/>
        </w:rPr>
        <w:t>” in Part I, Item 2 of this report), as well as any post-approval studies for our products. In addition, constriction and volatility in the equity and debt markets, including as a result of the impacts of inflation, increased interest rates, disruption or instability in the banking industry, geopolitical instability, or public health emergencies (such as the COVID-19 pandemic), may restrict our future flexibility to raise capital if and when such needs arise. See “</w:t>
      </w:r>
      <w:r>
        <w:rPr>
          <w:rFonts w:ascii="Times New Roman" w:cs="Times New Roman" w:eastAsia="Times New Roman" w:hAnsi="Times New Roman"/>
          <w:sz w:val="18"/>
          <w:szCs w:val="18"/>
          <w:i w:val="1"/>
          <w:iCs w:val="1"/>
          <w:color w:val="auto"/>
        </w:rPr>
        <w:t>Risks Relating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Business—Financial and Liquidity Risks—We may need to raise additional capital in the future. If we are unable to raise capital if and when needed, we may need to adjust our operations</w:t>
      </w:r>
      <w:r>
        <w:rPr>
          <w:rFonts w:ascii="Times New Roman" w:cs="Times New Roman" w:eastAsia="Times New Roman" w:hAnsi="Times New Roman"/>
          <w:sz w:val="18"/>
          <w:szCs w:val="18"/>
          <w:color w:val="auto"/>
        </w:rPr>
        <w:t>” in this section and “</w:t>
      </w:r>
      <w:r>
        <w:rPr>
          <w:rFonts w:ascii="Times New Roman" w:cs="Times New Roman" w:eastAsia="Times New Roman" w:hAnsi="Times New Roman"/>
          <w:sz w:val="18"/>
          <w:szCs w:val="18"/>
          <w:i w:val="1"/>
          <w:iCs w:val="1"/>
          <w:color w:val="auto"/>
        </w:rPr>
        <w:t>Management’s Discussion and Analysis of Financial Condition and Results of Operations— Liquidity and Capital Resources</w:t>
      </w:r>
      <w:r>
        <w:rPr>
          <w:rFonts w:ascii="Times New Roman" w:cs="Times New Roman" w:eastAsia="Times New Roman" w:hAnsi="Times New Roman"/>
          <w:sz w:val="18"/>
          <w:szCs w:val="18"/>
          <w:color w:val="auto"/>
        </w:rPr>
        <w:t>” in Part I, Item 2 of this report for additional information about our liquidity risks and capital requirements.</w:t>
      </w:r>
    </w:p>
    <w:p>
      <w:pPr>
        <w:spacing w:after="0" w:line="147"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Furthermore, we have exposure to many different industries, financing partners and counterparties, including commercial banks, investment banks and partners (which include investors, licensing partners, distribution partners, and others), which may be unstable or may become unstable in the current economic and political environment, including as a result of the impacts of inflation, increased interest rates, disruption or instability in the banking industry, potential U.S. Government shutdowns, the presidential election in the United States, geopolitical instability, actual or threatened public health emergencies, outbreaks of disease, epidemics or pandemics (such as the COVID-19 pandemic).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have in the past and could again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spacing w:after="0" w:line="15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do not obtain regulatory approvals for our product candidates or maintain regulatory approvals for our products, we or our partners will not be able to commercialize and sell these products and potential products, which would significantly harm our business because we will receive no revenue.</w:t>
      </w:r>
    </w:p>
    <w:p>
      <w:pPr>
        <w:spacing w:after="0" w:line="14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or our partners must obtain regulatory approvals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spacing w:after="0" w:line="13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process of preparing for and obtaining regulatory approval in any jurisdiction may be lengthy and expensive, and approval is never certain. Because of the risks and uncertainties inherent to the development process, our product candidates could take a significantly longer time to gain regulatory approval than we expect or may never gain approval. As discussed under “</w:t>
      </w:r>
      <w:r>
        <w:rPr>
          <w:rFonts w:ascii="Times New Roman" w:cs="Times New Roman" w:eastAsia="Times New Roman" w:hAnsi="Times New Roman"/>
          <w:sz w:val="18"/>
          <w:szCs w:val="18"/>
          <w:i w:val="1"/>
          <w:iCs w:val="1"/>
          <w:color w:val="auto"/>
        </w:rPr>
        <w:t>Risk Factors—Risks Relating to Our Business—Risks Relating to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Commercialization—Our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w:t>
      </w:r>
      <w:r>
        <w:rPr>
          <w:rFonts w:ascii="Times New Roman" w:cs="Times New Roman" w:eastAsia="Times New Roman" w:hAnsi="Times New Roman"/>
          <w:sz w:val="18"/>
          <w:szCs w:val="18"/>
          <w:color w:val="auto"/>
        </w:rPr>
        <w:t>,” we and our partners have experienced, and may again in the future experience, any number of unfavorable outcomes during or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preclinical studies and clinical trials that could delay or prevent regulatory approval of our product candidates, or negatively impact our management’s credibility, our value and our operating results.</w:t>
      </w:r>
    </w:p>
    <w:p>
      <w:pPr>
        <w:spacing w:after="0" w:line="151"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color w:val="auto"/>
        </w:rPr>
        <w:t>products, whether in the United States or internationally, we will continue to be subject to extensive regulatory requirements, as discussed under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Relating to Our Business—Legal and Regulatory Risks—We are subject to various laws and regulations related to our products and product candidates, and if we or our partners do not comply with these laws and regulations, we could face substantial penalties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spacing w:after="0" w:line="13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focus on rare diseases, which may create additional risks and challenges, including that the target patient populations of our products and product candidates may be small.</w:t>
      </w:r>
    </w:p>
    <w:p>
      <w:pPr>
        <w:spacing w:after="0" w:line="118"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Because we focus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Even with an orphan drug designation for our current and potential future product candidates, we may not be the first to obtain marketing approval for any particular orphan indication due to the uncertainties associated with developing pharmaceutical products. Further, even if we obtain orphan drug exclusivity for an existing or future product candidate, that exclusivity may not effectively protect the product from competition. See “</w:t>
      </w:r>
      <w:r>
        <w:rPr>
          <w:rFonts w:ascii="Times New Roman" w:cs="Times New Roman" w:eastAsia="Times New Roman" w:hAnsi="Times New Roman"/>
          <w:sz w:val="18"/>
          <w:szCs w:val="18"/>
          <w:i w:val="1"/>
          <w:iCs w:val="1"/>
          <w:color w:val="auto"/>
        </w:rPr>
        <w:t>Business—Government Regulation—FDA Regulation—Orphan Drugs</w:t>
      </w:r>
      <w:r>
        <w:rPr>
          <w:rFonts w:ascii="Times New Roman" w:cs="Times New Roman" w:eastAsia="Times New Roman" w:hAnsi="Times New Roman"/>
          <w:sz w:val="18"/>
          <w:szCs w:val="18"/>
          <w:color w:val="auto"/>
        </w:rPr>
        <w:t>” in Part I, Item 1 of our most recent Annual Report on Form 10-K.</w:t>
      </w:r>
    </w:p>
    <w:p>
      <w:pPr>
        <w:spacing w:after="0" w:line="165"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We may not be able to obtain or maintain these designations for our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spacing w:after="0" w:line="14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Given the small number of patients who have the diseases that we are targeting, it is important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Additionally, the potentially addressable patient population for each of our products and product candidates may be limited or may not be amenable to treatment with our products and product candidates, and new patients may become increasingly difficult to identify or access. Further, even if we obtain significant market share for our products and product candidates, because the potential target populations are small, we may never become or remain profitable nor generate sufficient revenue growth to sustain our business.</w:t>
      </w:r>
    </w:p>
    <w:p>
      <w:pPr>
        <w:spacing w:after="0" w:line="14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or market exclusivity before approving generic versions of our products, the sales of our products could be adversely affected.</w:t>
      </w:r>
    </w:p>
    <w:p>
      <w:pPr>
        <w:spacing w:after="0" w:line="148" w:lineRule="exact"/>
        <w:rPr>
          <w:sz w:val="20"/>
          <w:szCs w:val="20"/>
          <w:color w:val="auto"/>
        </w:rPr>
      </w:pPr>
    </w:p>
    <w:p>
      <w:pPr>
        <w:ind w:right="200" w:firstLine="486"/>
        <w:spacing w:after="0" w:line="255" w:lineRule="auto"/>
        <w:rPr>
          <w:sz w:val="20"/>
          <w:szCs w:val="20"/>
          <w:color w:val="auto"/>
        </w:rPr>
      </w:pPr>
      <w:r>
        <w:rPr>
          <w:rFonts w:ascii="Times New Roman" w:cs="Times New Roman" w:eastAsia="Times New Roman" w:hAnsi="Times New Roman"/>
          <w:sz w:val="18"/>
          <w:szCs w:val="18"/>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or ANDAs, in the United States, as described in “</w:t>
      </w:r>
      <w:r>
        <w:rPr>
          <w:rFonts w:ascii="Times New Roman" w:cs="Times New Roman" w:eastAsia="Times New Roman" w:hAnsi="Times New Roman"/>
          <w:sz w:val="18"/>
          <w:szCs w:val="18"/>
          <w:i w:val="1"/>
          <w:iCs w:val="1"/>
          <w:color w:val="auto"/>
        </w:rPr>
        <w:t>Business—Government Regulation—FDA Regulation—Abbreviated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 Drug Applications for Generic Drugs</w:t>
      </w:r>
      <w:r>
        <w:rPr>
          <w:rFonts w:ascii="Times New Roman" w:cs="Times New Roman" w:eastAsia="Times New Roman" w:hAnsi="Times New Roman"/>
          <w:sz w:val="18"/>
          <w:szCs w:val="18"/>
          <w:color w:val="auto"/>
        </w:rPr>
        <w:t>” in Part I, Item 1 of our most recent Annual Report on Form 10-K. Generic drugs may be significantly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FDA may not approve an ANDA for a generic drug until any applicable period of non-patent exclusivity for the reference-listed drug has expired, as described in “</w:t>
      </w:r>
      <w:r>
        <w:rPr>
          <w:rFonts w:ascii="Times New Roman" w:cs="Times New Roman" w:eastAsia="Times New Roman" w:hAnsi="Times New Roman"/>
          <w:sz w:val="18"/>
          <w:szCs w:val="18"/>
          <w:i w:val="1"/>
          <w:iCs w:val="1"/>
          <w:color w:val="auto"/>
        </w:rPr>
        <w:t>Business—Government Regulation—FDA Regulation—Abbreviated New Drug Applications for Generic Drugs</w:t>
      </w:r>
      <w:r>
        <w:rPr>
          <w:rFonts w:ascii="Times New Roman" w:cs="Times New Roman" w:eastAsia="Times New Roman" w:hAnsi="Times New Roman"/>
          <w:sz w:val="18"/>
          <w:szCs w:val="18"/>
          <w:color w:val="auto"/>
        </w:rPr>
        <w:t>” in Part I, Item 1 of our most recent Annual Report on Form 10-K, but such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generic drugs following the expiration of the marketing exclusivity period, even if we still have patent protection for such drugs.</w:t>
      </w:r>
    </w:p>
    <w:p>
      <w:pPr>
        <w:spacing w:after="0" w:line="16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Competition that our products or product candidates may face from generic drugs could materially and adversely impact our future revenue, profitability and cash flows and substantially limit our ability to obtain a return on the investments we have made in those product candidates. Our future revenues, profitability and cash flows could also be materially and adversely affected and our ability to obtain a return on the investments we have made in those product candidates may be substantially limited if our products or, if and when approved, product candidates, are not afforded the appropriate periods of non-patent exclusivity.</w:t>
      </w:r>
    </w:p>
    <w:p>
      <w:pPr>
        <w:spacing w:after="0" w:line="13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viability of any approved product could be compromised if the product is less effective than expected, causes undesirable side effects that either were not previously identified or were worse than expected, or fails to achieve market acceptance within the medical community.</w:t>
      </w:r>
    </w:p>
    <w:p>
      <w:pPr>
        <w:spacing w:after="0" w:line="118"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If, after obtaining regulatory approval of a product, we or others discover that the product is less effective than previously believed or causes undesirable side effects that either were not previously identified or were worse than expected, any of the following adverse events could occur:</w:t>
      </w:r>
    </w:p>
    <w:p>
      <w:pPr>
        <w:spacing w:after="0" w:line="135" w:lineRule="exact"/>
        <w:rPr>
          <w:sz w:val="20"/>
          <w:szCs w:val="20"/>
          <w:color w:val="auto"/>
        </w:rPr>
      </w:pPr>
    </w:p>
    <w:p>
      <w:pPr>
        <w:ind w:left="1140" w:right="200" w:hanging="322"/>
        <w:spacing w:after="0" w:line="261"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ind w:left="1140" w:right="20" w:hanging="322"/>
        <w:spacing w:after="0" w:line="250"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be required to recall the product, change the way the product is administered, conduct additional clinical trials, or be subject to civil or criminal penalties; and</w:t>
      </w:r>
    </w:p>
    <w:p>
      <w:pPr>
        <w:ind w:left="1140" w:hanging="32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166"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Even after receiving regulatory approval, any product could fail to gain sufficient, or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spacing w:after="0" w:line="14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spacing w:after="0" w:line="14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increasing the asset value of our product and product candidate portfolio. We believe this is best achieved by retaining full product rights or through collaborative arrangements with third parties as appropriate. As needed, potential third-party relationships could relate to preclinical development, clinical development, regulatory approval, marketing, sales, and distribution of our products and product candidates.</w:t>
      </w:r>
    </w:p>
    <w:p>
      <w:pPr>
        <w:spacing w:after="0" w:line="13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Currently, we have established collaborative relationships, including with Torii for the commercialization of ORLADEYO in Japan, with third-party distributors for ORLADEYO in certain other markets, and with each of Shionogi and Green Cross for the development and commercialization of peramivir. The process of establishing and implementing collaborative relationships is difficult, time-consuming and involves significant uncertainty, including:</w:t>
      </w:r>
    </w:p>
    <w:p>
      <w:pPr>
        <w:spacing w:after="0" w:line="139" w:lineRule="exact"/>
        <w:rPr>
          <w:sz w:val="20"/>
          <w:szCs w:val="20"/>
          <w:color w:val="auto"/>
        </w:rPr>
      </w:pPr>
    </w:p>
    <w:p>
      <w:pPr>
        <w:ind w:left="1140" w:right="280" w:hanging="322"/>
        <w:spacing w:after="0" w:line="261"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seek to renegotiate or terminate our relationships due to unsatisfactory commercial, regulatory or clinical results, including post-approval clinical commitments, a change in business strategy, a change of control or other reasons;</w:t>
      </w:r>
    </w:p>
    <w:p>
      <w:pPr>
        <w:ind w:left="1140" w:hanging="32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for collaborative arrangements may expire;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right="440" w:hanging="322"/>
        <w:spacing w:after="0" w:line="261"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expiration or termination of collaborative relationships, such as those with certain of our distribution partners, may trigger repurchase obligations of the Company for unsold product held by our partners;</w:t>
      </w: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 may choose to pursue alternative technologies, including those of our competitors;</w:t>
      </w:r>
    </w:p>
    <w:p>
      <w:pPr>
        <w:spacing w:after="0" w:line="9" w:lineRule="exact"/>
        <w:rPr>
          <w:rFonts w:ascii="Times New Roman" w:cs="Times New Roman" w:eastAsia="Times New Roman" w:hAnsi="Times New Roman"/>
          <w:sz w:val="18"/>
          <w:szCs w:val="18"/>
          <w:color w:val="auto"/>
        </w:rPr>
      </w:pPr>
    </w:p>
    <w:p>
      <w:pPr>
        <w:ind w:left="1140" w:right="80" w:hanging="322"/>
        <w:spacing w:after="0" w:line="250"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had in the past, and in the future may have, disputes with a partner that could lead to litigation or arbitration, which could result in substantial costs and divert the attention of our management;</w:t>
      </w: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day-to-day control over the activities of our partners and have limited control over their decisions;</w:t>
      </w:r>
    </w:p>
    <w:p>
      <w:pPr>
        <w:spacing w:after="0" w:line="9" w:lineRule="exact"/>
        <w:rPr>
          <w:rFonts w:ascii="Times New Roman" w:cs="Times New Roman" w:eastAsia="Times New Roman" w:hAnsi="Times New Roman"/>
          <w:sz w:val="18"/>
          <w:szCs w:val="18"/>
          <w:color w:val="auto"/>
        </w:rPr>
      </w:pPr>
    </w:p>
    <w:p>
      <w:pPr>
        <w:ind w:left="1140" w:right="20" w:hanging="322"/>
        <w:spacing w:after="0" w:line="250"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ind w:left="1140" w:hanging="322"/>
        <w:spacing w:after="0" w:line="250"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devote sufficient capital or resources toward our products and product candidates;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comply with applicable government regulatory requirements.</w:t>
      </w:r>
    </w:p>
    <w:p>
      <w:pPr>
        <w:spacing w:after="0" w:line="166"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partnership with Torii may not meet our current expectations.</w:t>
      </w:r>
    </w:p>
    <w:p>
      <w:pPr>
        <w:spacing w:after="0" w:line="189"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We have a partnership agreement with Torii for ORLADEYO in Japan. Under the Torii Agreement, we are responsible for all field promotional activities with respect to ORLADEYO in Japan, which we conduct through our Japanese subsidiary, BioCryst Japan K.K. Furthermore, we remain responsible for regulatory activities with respect to ORLADEYO in Japan, and we use third parties to satisfy those regulatory responsibilities and certain other obligations in Japan. If any party fails to meet its obligations, the commercial success of ORLADEYO in Japan and the economic benefit expected could be negatively impacted.</w:t>
      </w:r>
    </w:p>
    <w:p>
      <w:pPr>
        <w:spacing w:after="0" w:line="13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or our partners’ commercialization efforts, methods, and strategies for our products or technologies will succeed, and our future revenue generation is uncertain.</w:t>
      </w:r>
    </w:p>
    <w:p>
      <w:pPr>
        <w:spacing w:after="0" w:line="13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There can be no assurance that our or our partners’ commercialization efforts, methods and strategies will succeed.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spacing w:after="0" w:line="135" w:lineRule="exact"/>
        <w:rPr>
          <w:sz w:val="20"/>
          <w:szCs w:val="20"/>
          <w:color w:val="auto"/>
        </w:rPr>
      </w:pPr>
    </w:p>
    <w:p>
      <w:pPr>
        <w:ind w:left="1140" w:hanging="322"/>
        <w:spacing w:after="0" w:line="261"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fail to complete clinical trials successfully, or satisfy post-marketing commitments, sufficient to obtain and maintain regulatory agency marketing approval;</w:t>
      </w:r>
    </w:p>
    <w:p>
      <w:pPr>
        <w:ind w:left="1140" w:right="240" w:hanging="322"/>
        <w:spacing w:after="0" w:line="250"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competitors are more experienced and have significantly more resources, and their products could reach the market faster, be more cost effective or have a better efficacy or tolerability profile than our products and product candidates;</w:t>
      </w:r>
    </w:p>
    <w:p>
      <w:pPr>
        <w:ind w:left="1140" w:right="240" w:hanging="322"/>
        <w:spacing w:after="0" w:line="250"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spacing w:after="0" w:line="1" w:lineRule="exact"/>
        <w:rPr>
          <w:rFonts w:ascii="Times New Roman" w:cs="Times New Roman" w:eastAsia="Times New Roman" w:hAnsi="Times New Roman"/>
          <w:sz w:val="18"/>
          <w:szCs w:val="18"/>
          <w:color w:val="auto"/>
        </w:rPr>
      </w:pPr>
    </w:p>
    <w:p>
      <w:pPr>
        <w:ind w:left="1140" w:right="200" w:hanging="322"/>
        <w:spacing w:after="0" w:line="250"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employ a comprehensive and effective regulatory strategy, which could result in a delay or failure in commercialization of our products;</w:t>
      </w:r>
    </w:p>
    <w:p>
      <w:pPr>
        <w:ind w:left="1140" w:right="320" w:hanging="322"/>
        <w:spacing w:after="0" w:line="250"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ability to successfully commercialize our products is affected by the competitive landscape, which cannot be fully known at this time;</w:t>
      </w:r>
    </w:p>
    <w:p>
      <w:pPr>
        <w:ind w:left="1140" w:hanging="32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product sales depends on our ability to obtain and maintain favorable pricing;</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is constantly changing, which could greatly affect usage of our products;</w:t>
      </w:r>
    </w:p>
    <w:p>
      <w:pPr>
        <w:spacing w:after="0" w:line="27" w:lineRule="exact"/>
        <w:rPr>
          <w:rFonts w:ascii="Times New Roman" w:cs="Times New Roman" w:eastAsia="Times New Roman" w:hAnsi="Times New Roman"/>
          <w:sz w:val="18"/>
          <w:szCs w:val="18"/>
          <w:color w:val="auto"/>
        </w:rPr>
      </w:pPr>
    </w:p>
    <w:p>
      <w:pPr>
        <w:ind w:left="1140" w:right="420" w:hanging="322"/>
        <w:spacing w:after="0" w:line="243"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from product sales will depend on our ability to successfully complete clinical studies, obtain regulatory approvals, and manufacture, market, distribute and commercialize our approved drugs; and</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emergencies or the outbreak of disease, such as the COVID-19 pandemic, on us or our partners.</w:t>
      </w:r>
    </w:p>
    <w:p>
      <w:pPr>
        <w:spacing w:after="0" w:line="16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future revenue from sales of ORLADEYO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w:t>
      </w:r>
    </w:p>
    <w:p>
      <w:pPr>
        <w:spacing w:after="0" w:line="143"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Even if we are able to successfully commercialize our existing products, or to develop new commercially viable products, certain obligations we have to third parties, including, without limitation, our obligations to pay royalties on certain revenues from ORLADEYO under the Royalty Purchase Agreements, may reduce the profitability of such products.</w:t>
      </w:r>
    </w:p>
    <w:p>
      <w:pPr>
        <w:spacing w:after="0" w:line="13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expanded, and may continue expanding, our development and regulatory capabilities and are implementing sales, marketing and distribution capabilities, and as a result, we may encounter difficulties in managing our growth, which could disrupt our operations.</w:t>
      </w:r>
    </w:p>
    <w:p>
      <w:pPr>
        <w:spacing w:after="0" w:line="132"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have experienced, and may continue to experience, significant growth in the number of our employees and the scope of our operations in the United States and internationally, particularly in the areas of drug development, regulatory affairs, sales, marketing, and distribution. To manage our growth, we must continue to implement and improve our managerial, operational and financial systems and processes, expand our facilities and continue to recruit and train qualified personnel. Due to our limited financial resources and the limited experience of our management team in managing a company with such growth, we may not be able to effectively manage the expansion of our operations, implement appropriate systems and processes in a timely manner or at all, or recruit, train, and retain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spacing w:after="0" w:line="15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spacing w:after="0" w:line="13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each of which may be the only vendor we have engaged for a particular product, product candidate, or service or in a particular region, may encounter difficulties with meeting our requirements, including, but not limited to, problems involving, as applicable:</w:t>
      </w:r>
    </w:p>
    <w:p>
      <w:pPr>
        <w:spacing w:after="0" w:line="162" w:lineRule="exact"/>
        <w:rPr>
          <w:sz w:val="20"/>
          <w:szCs w:val="20"/>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resources being devoted in the manner necessary to satisfy our requirements within expected timeframes;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production yields;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recalls of commercial product;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scaling production to commercial and validation sizes;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the delivery of materials required for the manufacturing process;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distribute commercial supplies of our products to commercial vendors or end users in a timely manner;</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scheduling of plant time with other vendors or unexpected equipment failure;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catastrophes that could strike their facilities or have an effect on infrastructure;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right="1200" w:hanging="322"/>
        <w:spacing w:after="0" w:line="261"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impurities in our drug substance or products that could affect availability of product for our clinical trials or future commercialization;</w:t>
      </w: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quality control and assurance or inadequate process controls;</w:t>
      </w:r>
    </w:p>
    <w:p>
      <w:pPr>
        <w:spacing w:after="0" w:line="9" w:lineRule="exact"/>
        <w:rPr>
          <w:rFonts w:ascii="Times New Roman" w:cs="Times New Roman" w:eastAsia="Times New Roman" w:hAnsi="Times New Roman"/>
          <w:sz w:val="18"/>
          <w:szCs w:val="18"/>
          <w:color w:val="auto"/>
        </w:rPr>
      </w:pPr>
    </w:p>
    <w:p>
      <w:pPr>
        <w:ind w:left="1140" w:right="80" w:hanging="322"/>
        <w:spacing w:after="0" w:line="250"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us with accurate or timely information regarding inventory, the number of patients who are using our products, or serious adverse events and/or product complaints regarding our products;</w:t>
      </w: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third parties to satisfy their financial obligations to us or to others;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breach of the manufacturing or distribution agreement by the third party;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termination or non-renewal of a material agreement by the third party at a time that is costly or inconvenient to us; and</w:t>
      </w:r>
    </w:p>
    <w:p>
      <w:pPr>
        <w:spacing w:after="0" w:line="9" w:lineRule="exact"/>
        <w:rPr>
          <w:rFonts w:ascii="Times New Roman" w:cs="Times New Roman" w:eastAsia="Times New Roman" w:hAnsi="Times New Roman"/>
          <w:sz w:val="18"/>
          <w:szCs w:val="18"/>
          <w:color w:val="auto"/>
        </w:rPr>
      </w:pPr>
    </w:p>
    <w:p>
      <w:pPr>
        <w:ind w:left="1140" w:right="100" w:hanging="322"/>
        <w:spacing w:after="0" w:line="260"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compliance or cooperation with regulations and specifications or requests set forth by the FDA or other foreign regulatory agencies or local customs, particularly associated with ORLADEYO, peramivir and our early-stage compounds.</w:t>
      </w:r>
    </w:p>
    <w:p>
      <w:pPr>
        <w:spacing w:after="0" w:line="14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Many additional factors could cause production or distribution interruptions with the manufacture and distribution of any of our products and product candidates, including human error, natural disasters, pandemics, labor disputes or shortages, acts of terrorism or war, equipment malfunctions, raw material shortages or supply chain issues. If our commercial distribution partners are not able to satisfy our requirements within the expected timeframe, or are unable to provide us with accurate or timely information and data, including with respect to inventory and sales, serious adverse events, and/or product complaints, our business, including our commercialization efforts for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managed, the continuance of our commercialization efforts for and sales of ORLADEYO may be delayed or compromised.</w:t>
      </w:r>
    </w:p>
    <w:p>
      <w:pPr>
        <w:spacing w:after="0" w:line="16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Our third-party manufacturers also may not meet our manufacturing requirements. Furthermore, changes in the manufacturing process or procedures,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spacing w:after="0" w:line="15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currently contract with a foreign CMO in China for the manufacturing of one of our product candidates. Foreign CMOs may be subject to U.S. legislation, including the proposed BIOSECURE Act, sanctions, trade restrictions and other foreign regulatory requirements, which could increase the cost or reduce the supply of material available to us or delay the procurement or supply of such material.</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we are unable to maintain current third-party relationships, or enter into new agreements with additional third parties on commercially reasonable terms, or at all,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spacing w:after="0" w:line="145"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Commercialization of our products by us and our partners is subject to the potential commercialization risks described herein and numerous additional risks. Any potential revenue benefits to us, including in the form of milestone payments, royalties or other consideration, are highly speculative.</w:t>
      </w:r>
    </w:p>
    <w:p>
      <w:pPr>
        <w:spacing w:after="0" w:line="95"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Commercial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spacing w:after="0" w:line="135" w:lineRule="exact"/>
        <w:rPr>
          <w:sz w:val="20"/>
          <w:szCs w:val="20"/>
          <w:color w:val="auto"/>
        </w:rPr>
      </w:pPr>
    </w:p>
    <w:p>
      <w:pPr>
        <w:ind w:left="1140" w:right="360" w:hanging="322"/>
        <w:spacing w:after="0" w:line="282"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not prove to be adequately safe and effective for market approval in markets other than the markets in which they are currently approved;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right="500" w:hanging="322"/>
        <w:spacing w:after="0" w:line="261"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funding for post-marketing commitments and further development of our products may not be available timely, at all, or in sufficient amounts;</w:t>
      </w: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competing products could substantially replace potential demand for our products;</w:t>
      </w:r>
    </w:p>
    <w:p>
      <w:pPr>
        <w:spacing w:after="0" w:line="9" w:lineRule="exact"/>
        <w:rPr>
          <w:rFonts w:ascii="Times New Roman" w:cs="Times New Roman" w:eastAsia="Times New Roman" w:hAnsi="Times New Roman"/>
          <w:sz w:val="18"/>
          <w:szCs w:val="18"/>
          <w:color w:val="auto"/>
        </w:rPr>
      </w:pPr>
    </w:p>
    <w:p>
      <w:pPr>
        <w:ind w:left="1140" w:right="140" w:hanging="322"/>
        <w:spacing w:after="0" w:line="250"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third-party payors may not provide sufficient coverage or reimbursement, which would negatively impact the demand for our products;</w:t>
      </w:r>
    </w:p>
    <w:p>
      <w:pPr>
        <w:ind w:left="1140" w:right="200" w:hanging="322"/>
        <w:spacing w:after="0" w:line="250"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supply commercial material to our partners and our partners may not be able to maintain or establish sufficient and acceptable commercial manufacturing, either directly or through third-party manufacturers;</w:t>
      </w:r>
    </w:p>
    <w:p>
      <w:pPr>
        <w:ind w:left="1140" w:right="560" w:hanging="322"/>
        <w:spacing w:after="0" w:line="250"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demand for and acceptance of our products by healthcare providers and by patients may not be sufficient to result in substantial product revenues to us or to our partners and may result in little to no revenue, milestone payments, or royalties to us;</w:t>
      </w: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marketing and commercialization efforts for our products by us or our partners;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satisfaction with existing alternative therapies;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efficacy relative to other available therapies;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prevalence;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pricing and reimbursement strategy may not be effective;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legislative or regulatory proposals may influence our pricing and reimbursement strategy, which could impact product revenues;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availability of imports or alternative products;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sales activities of competitors;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the medical community to new treatment paradigms or standards of care;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Competing in Our Industry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are unable to compete effectively, the demand for our products may be reduced.</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spacing w:after="0" w:line="149" w:lineRule="exact"/>
        <w:rPr>
          <w:sz w:val="20"/>
          <w:szCs w:val="20"/>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drug development technologies;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of preventing or reducing the incidence of disease, including vaccines;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small molecule or other classes of therapeutic agents.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others may render our products, product candidates, or technologies obsolete or noncompetitive.</w:t>
      </w:r>
    </w:p>
    <w:p>
      <w:pPr>
        <w:spacing w:after="0" w:line="18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received FDA approval of ORLADEYO, an oral, once-daily therapy for the prevention of HAE attacks in adults and pediatric patients aged 12 years and older, in December 2020. We subsequently received regulatory approvals for ORLADEYO in other global markets. In addition, we are performing research on or developing products for the treatment of several other rare diseases, including diseases of the complement system.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In addition, various government entities throughout the world may offer incentives, grants and contracts to encourage additional investment into certain preventative and therapeutic agents, which may have the effect of further increasing the number of</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our competitors and/or providing advantages to certain competitors. See “</w:t>
      </w:r>
      <w:r>
        <w:rPr>
          <w:rFonts w:ascii="Times New Roman" w:cs="Times New Roman" w:eastAsia="Times New Roman" w:hAnsi="Times New Roman"/>
          <w:sz w:val="18"/>
          <w:szCs w:val="18"/>
          <w:i w:val="1"/>
          <w:iCs w:val="1"/>
          <w:color w:val="auto"/>
        </w:rPr>
        <w:t>Business—Competition</w:t>
      </w:r>
      <w:r>
        <w:rPr>
          <w:rFonts w:ascii="Times New Roman" w:cs="Times New Roman" w:eastAsia="Times New Roman" w:hAnsi="Times New Roman"/>
          <w:sz w:val="18"/>
          <w:szCs w:val="18"/>
          <w:color w:val="auto"/>
        </w:rPr>
        <w:t>” in Part I, Item 1 of our most recent Annual Report on Form 10-K for further discussion of our competitors, competitive products or programs, and the competitive conditions in these and other therapeutic areas.</w:t>
      </w:r>
    </w:p>
    <w:p>
      <w:pPr>
        <w:spacing w:after="0" w:line="133"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If one or more of our competitors’ products or programs, including potential competitors not currently identified, are successful, the market for our products may be reduced or eliminated.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Compared to us, many of our competitors and potential competitors have substantially greater:</w:t>
      </w:r>
    </w:p>
    <w:p>
      <w:pPr>
        <w:spacing w:after="0" w:line="185" w:lineRule="exact"/>
        <w:rPr>
          <w:sz w:val="20"/>
          <w:szCs w:val="20"/>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study and clinical testing experience;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marketing, and sales experience;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facilities.</w:t>
      </w:r>
    </w:p>
    <w:p>
      <w:pPr>
        <w:spacing w:after="0" w:line="180"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Any of these competitive factors could impede our funding efforts, render our products, product candidates, or technologies noncompetitive or eliminate or reduce demand for our products and product candidates.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and Regulatory Risks</w:t>
      </w:r>
    </w:p>
    <w:p>
      <w:pPr>
        <w:spacing w:after="0" w:line="18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laws and regulations related to our products and product candidates, and if we or our partners do not comply with these laws and regulations, we could face substantial penalties.</w:t>
      </w:r>
    </w:p>
    <w:p>
      <w:pPr>
        <w:spacing w:after="0" w:line="13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and our partners’ activities related to approved products or, following their regulatory approval (if applicable), any of our product candidates under development, are subject to regulatory and law enforcement authorities in the United States (including the FDA, the Federal Trade Commission, the Department of Justice (“DOJ”), and state and local governments) and their foreign equivalents (including the EMA, MHLW, MHRA, and others).</w:t>
      </w:r>
    </w:p>
    <w:p>
      <w:pPr>
        <w:spacing w:after="0" w:line="13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spacing w:after="0" w:line="14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addition, we are subject to the federal physician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and our partners’ operations, sales and marketing practices, price reporting, and relationships with physicians and other customers and third-party payors. Although we seek to comply with these statutes, it is possible that our practices, or those of our partners, might be challenged under healthcare fraud and abuse, anti-kickback, false claims or similar laws. Violations of the physician sunshine act and similar legislation or the fraud and abuse laws may be punishable by civil or criminal sanctions, including fines and civil monetary penalties, and future exclusion from participation in government healthcare programs.</w:t>
      </w:r>
    </w:p>
    <w:p>
      <w:pPr>
        <w:spacing w:after="0" w:line="16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and evolving FDA guidance. If we fail to comply with any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 or certain post-approval labeling, packaging and storage requirements.</w:t>
      </w:r>
    </w:p>
    <w:p>
      <w:pPr>
        <w:spacing w:after="0" w:line="165"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Advertising and promotion are subject to stringent oversight from the FDA and foreign regulators, and as an NDA holder, we may be held responsible for any advertising and promotion that is not in compliance with applicable rules and regulations.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which have increasingly become the focus of government investigation.</w:t>
      </w:r>
    </w:p>
    <w:p>
      <w:pPr>
        <w:spacing w:after="0" w:line="14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Adverse event information concerning approved products must be reviewed, and as an NDA 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(“CMS”), other divisions of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spacing w:after="0" w:line="14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If our operations with respect to our products that are subject to healthcare laws and regulations are found to be in violation of any of the healthcare fraud and abuse laws described above or in “</w:t>
      </w:r>
      <w:r>
        <w:rPr>
          <w:rFonts w:ascii="Times New Roman" w:cs="Times New Roman" w:eastAsia="Times New Roman" w:hAnsi="Times New Roman"/>
          <w:sz w:val="18"/>
          <w:szCs w:val="18"/>
          <w:i w:val="1"/>
          <w:iCs w:val="1"/>
          <w:color w:val="auto"/>
        </w:rPr>
        <w:t>Business—Government Regulation</w:t>
      </w:r>
      <w:r>
        <w:rPr>
          <w:rFonts w:ascii="Times New Roman" w:cs="Times New Roman" w:eastAsia="Times New Roman" w:hAnsi="Times New Roman"/>
          <w:sz w:val="18"/>
          <w:szCs w:val="18"/>
          <w:color w:val="auto"/>
        </w:rPr>
        <w:t>” in Part I, Item 1 of our most recent Annual Report on Form 10-K or any other governmental regulations that apply to us, we may be subject to penalties, including civil and criminal penalties, damages, fines, debarment or exclusion from participating in government-funded healthcare programs such as Medicare or Medicaid, and the curtailment or restructuring of our operations. Any penalties, damages, fines, debarment, exclusion,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spacing w:after="0" w:line="15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partners may engage in misconduct or other improper activities, including non-compliance with regulatory standards and requirements, which could cause significant liability for us and harm our reputation.</w:t>
      </w:r>
    </w:p>
    <w:p>
      <w:pPr>
        <w:spacing w:after="0" w:line="118"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the risk of fraud or other misconduct by our employees, consultants and partners, including intentional or unintentional failures to comply with FDA regulations or similar regulations of comparable other regulatory authorities, provide accurate information to the FDA or comparable other regulatory authorities, comply with manufacturing standards we have established, comply with federal and state healthcare fraud and abuse laws and regulations and similar laws and regulations established and enforced by comparable other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partners may be subject to new legislation, regulatory proposals and healthcare payor initiatives that may increase our costs of compliance and adversely affect our or our partners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market our products or develop our product candidates.</w:t>
      </w:r>
    </w:p>
    <w:p>
      <w:pPr>
        <w:spacing w:after="0" w:line="132"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new legislation, regulatory, and healthcare payor initiatives, including the Patient Protection and Affordable Care Act (“PPACA”), which made extensive changes to the delivery of healthcare in the United States, as discussed in “</w:t>
      </w:r>
      <w:r>
        <w:rPr>
          <w:rFonts w:ascii="Times New Roman" w:cs="Times New Roman" w:eastAsia="Times New Roman" w:hAnsi="Times New Roman"/>
          <w:sz w:val="18"/>
          <w:szCs w:val="18"/>
          <w:i w:val="1"/>
          <w:iCs w:val="1"/>
          <w:color w:val="auto"/>
        </w:rPr>
        <w:t>Business—Government Regulation</w:t>
      </w:r>
      <w:r>
        <w:rPr>
          <w:rFonts w:ascii="Times New Roman" w:cs="Times New Roman" w:eastAsia="Times New Roman" w:hAnsi="Times New Roman"/>
          <w:sz w:val="18"/>
          <w:szCs w:val="18"/>
          <w:color w:val="auto"/>
        </w:rPr>
        <w:t>” in Part I, Item 1 of our most recent Annual Report on Form 10-K. 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applicable safe harbors, it is possible that some of our business activities could be subject to challenge under one or more of such laws. Such a challenge could have a material adverse effect on our business, financial condition, results of operations and growth prospects.</w:t>
      </w:r>
    </w:p>
    <w:p>
      <w:pPr>
        <w:spacing w:after="0" w:line="15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48"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Adequate coverage and reimbursement in the United States and other markets is essential to the commercial success of our approved products. Recently in the United States, there has been heightened governmental scrutiny over the manner in which manufacturers set prices for their marketed products. For example, the Inflation Reduction Act of 2022 (“IRA”) implements a number of drug pricing measures intended to lower the cost of prescription drugs and related healthcare reforms, including limits on price increases and subjecting an escalating number of drugs to annual price negotiations with CMS. The IRA includes several provisions that will impact our business to varying degrees, including provisions that reduce the out-of-pocket spending cap for Medicare Part D beneficiaries to $2,000 starting in 2025;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or indications are for that disease or condition.  If a product receives multiple rare disease designations or has multiple approved indications for more than one disease or condition, it may not qualify for the orphan drug exemption.</w:t>
      </w:r>
    </w:p>
    <w:p>
      <w:pPr>
        <w:spacing w:after="0" w:line="16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cannot be sure whether additional legislation or rule-making related to the IRA will be issued or enacted, how insurance pharmacy benefit managers and other insurance providers that manage benefits for Medicare recipients will react to the IRA, or what impact, if any, such changes will have on the insurance coverage and profitability of our products or any of our product candidates, if approved for commercial use, in the future. The effect of the IRA on our business and the healthcare industry in general is not yet known. The IRA or other government efforts to reduce the price of prescription drugs or to limit the amount that governments pay for healthcare products and services could result in additional pricing pressure and have a significant impact on our business.</w:t>
      </w:r>
    </w:p>
    <w:p>
      <w:pPr>
        <w:spacing w:after="0" w:line="14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addition,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spacing w:after="0" w:line="15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data privacy and security risks, and our actual or perceived failure to comply with regulations and other legal obligations related to privacy and data protection could harm our business.</w:t>
      </w:r>
    </w:p>
    <w:p>
      <w:pPr>
        <w:spacing w:after="0" w:line="116"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may be subject to legal obligations at the federal, state, and local level related to privacy and data protection, as described in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Regulation—Data Privacy and Security Laws</w:t>
      </w:r>
      <w:r>
        <w:rPr>
          <w:rFonts w:ascii="Times New Roman" w:cs="Times New Roman" w:eastAsia="Times New Roman" w:hAnsi="Times New Roman"/>
          <w:sz w:val="18"/>
          <w:szCs w:val="18"/>
          <w:color w:val="auto"/>
        </w:rPr>
        <w:t>” in Part I, Item 1 of our most recent Annual Report on Form 10-K. Compliance with stringent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evolving U.S.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(“CCPA”), which gives California residents expanded rights to access and require deletion of their personal data, opt out of certain personal data sharing, and receive detailed information about how their personal data is used.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may maintain about California residents.</w:t>
      </w:r>
    </w:p>
    <w:p>
      <w:pPr>
        <w:spacing w:after="0" w:line="150"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also may be subject to the General Data Protection Regulation (“GDPR”) in the European Economic Area (“EEA”) and similar legislation in the United Kingdom and Switzerland. See “</w:t>
      </w:r>
      <w:r>
        <w:rPr>
          <w:rFonts w:ascii="Times New Roman" w:cs="Times New Roman" w:eastAsia="Times New Roman" w:hAnsi="Times New Roman"/>
          <w:sz w:val="18"/>
          <w:szCs w:val="18"/>
          <w:i w:val="1"/>
          <w:iCs w:val="1"/>
          <w:color w:val="auto"/>
        </w:rPr>
        <w:t>Business—Government Regulation—Data Privacy and Security Laws</w:t>
      </w:r>
      <w:r>
        <w:rPr>
          <w:rFonts w:ascii="Times New Roman" w:cs="Times New Roman" w:eastAsia="Times New Roman" w:hAnsi="Times New Roman"/>
          <w:sz w:val="18"/>
          <w:szCs w:val="18"/>
          <w:color w:val="auto"/>
        </w:rPr>
        <w:t>” in Part I, Item 1 of our most recent Annual Report on Form 10-K and “</w:t>
      </w:r>
      <w:r>
        <w:rPr>
          <w:rFonts w:ascii="Times New Roman" w:cs="Times New Roman" w:eastAsia="Times New Roman" w:hAnsi="Times New Roman"/>
          <w:sz w:val="18"/>
          <w:szCs w:val="18"/>
          <w:i w:val="1"/>
          <w:iCs w:val="1"/>
          <w:color w:val="auto"/>
        </w:rPr>
        <w:t>Risks Relating to Our Business—Risks Relating to International Operations—Our actual or perceived failure to comply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European governmental laws and regulations and other legal obligations related to privacy, data protection and information security could harm our business</w:t>
      </w:r>
      <w:r>
        <w:rPr>
          <w:rFonts w:ascii="Times New Roman" w:cs="Times New Roman" w:eastAsia="Times New Roman" w:hAnsi="Times New Roman"/>
          <w:sz w:val="18"/>
          <w:szCs w:val="18"/>
          <w:color w:val="auto"/>
        </w:rPr>
        <w:t>” in this section for additional discussion of privacy laws and regulations. Failure to comply with these laws and regulations could result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enforcement actions, private litigation, or harm to our reputation and our business.</w:t>
      </w:r>
    </w:p>
    <w:p>
      <w:pPr>
        <w:spacing w:after="0" w:line="160"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Despite our efforts, our personnel or third parties on whom we rely may fail to comply with such data privacy and security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spacing w:after="0" w:line="139"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because of our use of hazardous materials, we violate any environmental controls or regulations that apply to such materials, we may incur substantial costs and expenses in our remediation efforts.</w:t>
      </w:r>
    </w:p>
    <w:p>
      <w:pPr>
        <w:spacing w:after="0" w:line="118"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Intellectual Property Risks</w:t>
      </w:r>
    </w:p>
    <w:p>
      <w:pPr>
        <w:spacing w:after="0" w:line="18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or enforce our intellectual property rights, the value of those rights would diminish, and if we fail to secure the rights to patents of others, it could adversely affect our business.</w:t>
      </w:r>
    </w:p>
    <w:p>
      <w:pPr>
        <w:spacing w:after="0" w:line="118"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spacing w:after="0" w:line="16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also rely on trade secrets to protect technology in cases when we believe patent protection is not appropriate or obtainable. However, trade secrets are difficult to protect. In addition, increasing restrictions on non-compete agreements could increase the difficulty of protecting certain proprietary information. If we cannot maintain the confidentiality of our technology and other confidential information in connection with our collaborators and advisors, our ability to receive patent protection or protect our proprietary information may be imperiled.</w:t>
      </w:r>
    </w:p>
    <w:p>
      <w:pPr>
        <w:spacing w:after="0" w:line="13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proceedings to protect or enforce our patents, the patents of our partners or our other intellectual property rights, which could be expensive, time consuming and unsuccessful.</w:t>
      </w:r>
    </w:p>
    <w:p>
      <w:pPr>
        <w:spacing w:after="0" w:line="118"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or may design around our patent claims to produce competitive products that fall outside the scope of our patents.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spacing w:after="0" w:line="16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spacing w:after="0" w:line="148" w:lineRule="exact"/>
        <w:rPr>
          <w:sz w:val="20"/>
          <w:szCs w:val="20"/>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range of protection any patents will afford against competitors with similar products;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9" w:lineRule="exact"/>
        <w:rPr>
          <w:rFonts w:ascii="Times New Roman" w:cs="Times New Roman" w:eastAsia="Times New Roman" w:hAnsi="Times New Roman"/>
          <w:sz w:val="18"/>
          <w:szCs w:val="18"/>
          <w:color w:val="auto"/>
        </w:rPr>
      </w:pPr>
    </w:p>
    <w:p>
      <w:pPr>
        <w:ind w:left="1140" w:right="760" w:hanging="322"/>
        <w:spacing w:after="0" w:line="250"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patents do issue, we cannot be sure that we will be able to adequately defend such patents and whether or not we will be able to adequately enforce such patents; or</w:t>
      </w: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 applications.</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the USPTO or other foreign patent office upholds patents issued to others or if the USPTO grants patent applications filed by others, we may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180" w:lineRule="exact"/>
        <w:rPr>
          <w:sz w:val="20"/>
          <w:szCs w:val="20"/>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licenses or redesign our products or processes to avoid infringement;</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using the subject matter claimed in those patents; or</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w:t>
      </w:r>
    </w:p>
    <w:p>
      <w:pPr>
        <w:spacing w:after="0" w:line="16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spacing w:after="0" w:line="13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diversified our pipeline to include the development of protein therapeutics, which may create additional risks and challenges.</w:t>
      </w:r>
    </w:p>
    <w:p>
      <w:pPr>
        <w:spacing w:after="0" w:line="18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We have diversified our pipeline beyond small-molecule medicines to develop protein therapeutics. The development of protein therapeutics may create additional risks and challenges, including, among others:</w:t>
      </w:r>
    </w:p>
    <w:p>
      <w:pPr>
        <w:spacing w:after="0" w:line="121" w:lineRule="exact"/>
        <w:rPr>
          <w:sz w:val="20"/>
          <w:szCs w:val="20"/>
          <w:color w:val="auto"/>
        </w:rPr>
      </w:pPr>
    </w:p>
    <w:p>
      <w:pPr>
        <w:jc w:val="both"/>
        <w:ind w:left="1140" w:right="440" w:hanging="322"/>
        <w:spacing w:after="0" w:line="257"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for protein therapeutics may be narrower in scope than for our small-molecule medicines, and our patents and patent applications may not adequately protect our intellectual property, provide exclusivity for our protein therapeutic candidates or prevent others from designing around our claims;</w:t>
      </w:r>
    </w:p>
    <w:p>
      <w:pPr>
        <w:spacing w:after="0" w:line="1" w:lineRule="exact"/>
        <w:rPr>
          <w:rFonts w:ascii="Times New Roman" w:cs="Times New Roman" w:eastAsia="Times New Roman" w:hAnsi="Times New Roman"/>
          <w:sz w:val="18"/>
          <w:szCs w:val="18"/>
          <w:color w:val="auto"/>
        </w:rPr>
      </w:pPr>
    </w:p>
    <w:p>
      <w:pPr>
        <w:ind w:left="1140" w:right="20" w:hanging="322"/>
        <w:spacing w:after="0" w:line="250"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issues with our protein therapeutic candidates may require redevelopment of the formulation, which may be time-consuming or unsuccessful;</w:t>
      </w:r>
    </w:p>
    <w:p>
      <w:pPr>
        <w:ind w:left="1140" w:right="780" w:hanging="322"/>
        <w:spacing w:after="0" w:line="250"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own or in-license may fail to result in issued patents with claims that cover our protein therapeutic candidates in the United States or in other countries;</w:t>
      </w: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be able to more easily develop and seek patent protection on similar protein therapeutic candidates; and</w:t>
      </w:r>
    </w:p>
    <w:p>
      <w:pPr>
        <w:spacing w:after="0" w:line="9" w:lineRule="exact"/>
        <w:rPr>
          <w:rFonts w:ascii="Times New Roman" w:cs="Times New Roman" w:eastAsia="Times New Roman" w:hAnsi="Times New Roman"/>
          <w:sz w:val="18"/>
          <w:szCs w:val="18"/>
          <w:color w:val="auto"/>
        </w:rPr>
      </w:pPr>
    </w:p>
    <w:p>
      <w:pPr>
        <w:ind w:left="1140" w:hanging="322"/>
        <w:spacing w:after="0" w:line="255"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orally-administered drugs are often less expensive and present a reduced treatment burden as compared to protein therapeutics and therefore would have competitive advantages if they were developed and shown to be safe and effective for the indication that our protein therapeutics product candidates are targeting.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0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 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3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employ certain individuals who were previously employed at universities or other biotechnology or pharmaceutical companies, including our competitors or potential competitors. Our efforts to vet our employees, consultants, and independent contractors and prevent their use of the proprietary information or know-how of others in their work for us may not be successful, and we may in the future be subject to claims that our employees, consultants, or independent contractors have wrongfully used or disclosed confidential information of third parties.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Liability Risks</w:t>
      </w:r>
    </w:p>
    <w:p>
      <w:pPr>
        <w:spacing w:after="0" w:line="18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an inherent risk of liability in the event that the use or misuse of our products or product candidates results in personal injury or death, and our product liability insurance coverage may be insufficient.</w:t>
      </w:r>
    </w:p>
    <w:p>
      <w:pPr>
        <w:spacing w:after="0" w:line="132"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spacing w:after="0" w:line="148"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spacing w:after="0" w:line="147" w:lineRule="exact"/>
        <w:rPr>
          <w:sz w:val="20"/>
          <w:szCs w:val="20"/>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from other sources, if available;</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our product liability insurance rates or the inability to maintain insurance coverage in the future on acceptable terms, or at all;</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or patients;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resulting in lower sales;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that could require costly recalls or product modifications;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managing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Contractual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government contracts, which may create a disadvantage and additional risks to us.</w:t>
      </w:r>
    </w:p>
    <w:p>
      <w:pPr>
        <w:spacing w:after="0" w:line="18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 September 2024, we entered into a contract with HHS for the procurement of up to 95,625 doses over a five-year period of RAPIVAB for the treatment of influenza. There can be no assurance that we or our manufacturers will be able to fully meet the demand for RAPIVAB with respect to this or any future arrangement.</w:t>
      </w:r>
    </w:p>
    <w:p>
      <w:pPr>
        <w:spacing w:after="0" w:line="14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We had contracts with the Biomedical Advanced Research and Development Authority within the U.S. Department of Health and Human Services (“BARDA/HHS”) and the National Institute of Allergy and Infectious Diseases within HHS (“NIAID/HHS”) for the development of galidesivir as a treatment for diseases caused by RNA pathogens, including Marburg virus disease, Yellow Fever and Ebola virus disease. In contracting with these government agencies, we became subject to various U.S. Government contract requirements, including general clauses for a cost-reimbursement research and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development contract, which may limit our reimbursement. While all government funding for galidesivir expired in 2022, we may still face risks related to our U.S. Government contracts pending final close out of these contracts.</w:t>
      </w:r>
    </w:p>
    <w:p>
      <w:pPr>
        <w:spacing w:after="0" w:line="13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U.S. Government contracts typically contain a number of extraordinary provisions that would not typically be found in commercial contracts, and which may create a disadvantage and additional risks to us as compared to competitors that do not have U.S. Government contracts. As a U.S. Government contractor, we are subject to an increased risk of investigations, criminal prosecution, civil fraud, whistleblower lawsuits and other legal actions and liabilities as compared to private sector commercial companies, and we could suffer serious harm to our reputation if allegations of impropriety were made against us. We could be subject to severe penalties, including legal actions and liabilities, in the event that we are unable to comply with delivery requirements or any other provision of a government contract.</w:t>
      </w:r>
    </w:p>
    <w:p>
      <w:pPr>
        <w:spacing w:after="0" w:line="14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reach milestones or to make annual minimum payments or otherwise breach our obligations under our license agreements, our licensors may terminate our agreements with them and/or seek additional remedies.</w:t>
      </w:r>
    </w:p>
    <w:p>
      <w:pPr>
        <w:spacing w:after="0" w:line="11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and/or seek other available remedies. As a result, our development of the respective product candidate or commercialization of the product would cease.</w:t>
      </w:r>
    </w:p>
    <w:p>
      <w:pPr>
        <w:spacing w:after="0" w:line="15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spacing w:after="0" w:line="13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March 2011, JPR Royalty Sub LLC, our wholly-owned subsidiary (“Royalty Sub”), issued $30.0 million in aggregate principal amount of PhaRMA Senior Secured 14.0% Notes due on December 1, 2020 (the “PhaRMA Notes”). The PhaRMA Notes are secured principally by (i) certain royalty and milestone payments under our agreement with Shionogi, pursuant to which Shionogi licensed from us the rights to market peramivir in Japan and Taiwan and (ii) the pledge by us of our equity interest in Royalty Sub. Since September 1, 2014, payments from Shionogi have been insufficient for Royalty Sub to service its obligations under the PhaRMA Notes, resulting in a continuing event of default with respect to the PhaRMA Notes since that time. In addition, the PhaRMA Notes had a final legal maturity date of December 1, 2020, at which time the outstanding principal amount of the PhaRMA Notes of $30.0 million, together with accrued and unpaid interest of $20.6 million, was due in full. The failure by Royalty Sub to repay these amounts at the maturity date constituted an additional event of default under the PhaRMA Notes. 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spacing w:after="0" w:line="149" w:lineRule="exact"/>
        <w:rPr>
          <w:sz w:val="20"/>
          <w:szCs w:val="20"/>
          <w:color w:val="auto"/>
        </w:rPr>
      </w:pPr>
    </w:p>
    <w:p>
      <w:pPr>
        <w:ind w:right="20" w:firstLine="486"/>
        <w:spacing w:after="0" w:line="274" w:lineRule="auto"/>
        <w:rPr>
          <w:sz w:val="20"/>
          <w:szCs w:val="20"/>
          <w:color w:val="auto"/>
        </w:rPr>
      </w:pPr>
      <w:r>
        <w:rPr>
          <w:rFonts w:ascii="Times New Roman" w:cs="Times New Roman" w:eastAsia="Times New Roman" w:hAnsi="Times New Roman"/>
          <w:sz w:val="17"/>
          <w:szCs w:val="17"/>
          <w:color w:val="auto"/>
        </w:rPr>
        <w:t>We cannot predict whether holders of PhaRMA Notes will seek to pursue any remedies as a result of the continuing events of default with respect to the PhaRMA Notes. The PhaRMA Notes are the obligation of Royalty Sub.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of the continuing events of default under the PhaRMA Notes or the failure by Royalty Sub to repay the PhaRMA Notes at maturity.</w:t>
      </w:r>
    </w:p>
    <w:p>
      <w:pPr>
        <w:spacing w:after="0" w:line="144" w:lineRule="exact"/>
        <w:rPr>
          <w:sz w:val="20"/>
          <w:szCs w:val="20"/>
          <w:color w:val="auto"/>
        </w:rPr>
      </w:pPr>
    </w:p>
    <w:p>
      <w:pPr>
        <w:jc w:val="both"/>
        <w:ind w:right="200" w:firstLine="486"/>
        <w:spacing w:after="0" w:line="267" w:lineRule="auto"/>
        <w:rPr>
          <w:sz w:val="20"/>
          <w:szCs w:val="20"/>
          <w:color w:val="auto"/>
        </w:rPr>
      </w:pPr>
      <w:r>
        <w:rPr>
          <w:rFonts w:ascii="Times New Roman" w:cs="Times New Roman" w:eastAsia="Times New Roman" w:hAnsi="Times New Roman"/>
          <w:sz w:val="18"/>
          <w:szCs w:val="18"/>
          <w:color w:val="auto"/>
        </w:rPr>
        <w:t>We wrote off the balance due under the PhaRMA Notes to other income as a debt extinguishment as of December 31, 2021. See “</w:t>
      </w:r>
      <w:r>
        <w:rPr>
          <w:rFonts w:ascii="Times New Roman" w:cs="Times New Roman" w:eastAsia="Times New Roman" w:hAnsi="Times New Roman"/>
          <w:sz w:val="18"/>
          <w:szCs w:val="18"/>
          <w:i w:val="1"/>
          <w:iCs w:val="1"/>
          <w:color w:val="auto"/>
        </w:rPr>
        <w:t>Note 8—Royalty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Financing Obligations—RAPIACTA—Non-Recourse Notes Payable—Debt Extinguishment</w:t>
      </w:r>
      <w:r>
        <w:rPr>
          <w:rFonts w:ascii="Times New Roman" w:cs="Times New Roman" w:eastAsia="Times New Roman" w:hAnsi="Times New Roman"/>
          <w:sz w:val="18"/>
          <w:szCs w:val="18"/>
          <w:color w:val="auto"/>
        </w:rPr>
        <w:t>” in the Notes to Consolidated Financial Statements in Part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 8 of our most recent Annual Report on Form 10-K for additional information about the write-off.</w:t>
      </w:r>
    </w:p>
    <w:p>
      <w:pPr>
        <w:spacing w:after="0" w:line="131"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indebtedness, which could adversely affect our business. Additionally, the Pharmakon Loan Agreement contains conditions and restrictions that limit our flexibility in operating our business. We may be required to make a prepayment or repay our outstanding indebtedness earlier than we expect if a prepayment event or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event of default occurs, including a material adverse change with respect to us, which could have a material adverse effect on our business.</w:t>
      </w:r>
    </w:p>
    <w:p>
      <w:pPr>
        <w:spacing w:after="0" w:line="202"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On April 17, 2023, we entered into the $450.0 million Pharmakon Loan Agreement (the “Pharmakon Loan Agreement”) with BioPharma Credit Investments V (Master) LP and BPCR Limited Partnership, as lenders, and BioPharma Credit PLC, as collateral agent for the lenders, and closed on an initial term loan thereunder in the principal amount of $300.0 million. As of September 30, 2024, we had an outstanding principal balance under the Pharmakon Loan Agreement of $323.7 million, inclusive of the Pharmakon PIK Interest Payments (as defined in “</w:t>
      </w:r>
      <w:r>
        <w:rPr>
          <w:rFonts w:ascii="Times New Roman" w:cs="Times New Roman" w:eastAsia="Times New Roman" w:hAnsi="Times New Roman"/>
          <w:sz w:val="18"/>
          <w:szCs w:val="18"/>
          <w:i w:val="1"/>
          <w:iCs w:val="1"/>
          <w:color w:val="auto"/>
        </w:rPr>
        <w:t>Note 7—Debt—Pharmakon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in the Notes to the Condensed Consolidated Financial Statements included in Part I, Item 1 of this report). Under the Pharmakon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we will be required to pay to Pharmakon, for the account of the lenders, a prepayment premium or a make-whole premium, as applicable, plus certain fees or expenses set forth in the Pharmakon Loan Agreement in the event that we prepay, or are required to prepay, voluntarily or pursuant to a mandatory prepayment obligation under the Pharmakon Loan Agreement (e.g., upon a change of control of the Company and specified other events, subject to certain exceptions), all or part of the then-outstanding term loans under the Pharmakon Loan Agreement, in each case, subject to certain exceptions set forth in the Pharmakon Loan Agreement.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indebtedness could have important consequences to our stockholders. For example, it:</w:t>
      </w:r>
    </w:p>
    <w:p>
      <w:pPr>
        <w:spacing w:after="0" w:line="185" w:lineRule="exact"/>
        <w:rPr>
          <w:sz w:val="20"/>
          <w:szCs w:val="20"/>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our vulnerability to adverse general economic or industry conditions;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flexibility in planning for, or reacting to, changes in our business or the industry in which we operate;</w:t>
      </w:r>
    </w:p>
    <w:p>
      <w:pPr>
        <w:spacing w:after="0" w:line="9" w:lineRule="exact"/>
        <w:rPr>
          <w:rFonts w:ascii="Times New Roman" w:cs="Times New Roman" w:eastAsia="Times New Roman" w:hAnsi="Times New Roman"/>
          <w:sz w:val="18"/>
          <w:szCs w:val="18"/>
          <w:color w:val="auto"/>
        </w:rPr>
      </w:pPr>
    </w:p>
    <w:p>
      <w:pPr>
        <w:ind w:left="1140" w:right="300" w:hanging="322"/>
        <w:spacing w:after="0" w:line="250"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us more vulnerable to increases in interest rates, as borrowings under the Pharmakon Loan Agreement accrue interest at variable, uncapped rates, such that increases in interest rates will increase the associated interest payments that we are required to make on outstanding borrowings;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us to dedicate a portion of our cash flow from operations to interest payments, limiting the availability of cash for other purposes;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ability to obtain additional financing or refinancing in the future for working capital or other purposes;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us at a competitive disadvantage compared to our competitors that have less indebtedness.</w:t>
      </w:r>
    </w:p>
    <w:p>
      <w:pPr>
        <w:spacing w:after="0" w:line="180"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Furthermore, the Pharmakon Loan Agreement contains various covenants that limit our ability to engage in specified types of transactions. Subject to certain exceptions, these covenants limit our ability to, among other things, dispose of assets; engage in certain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w:t>
      </w:r>
    </w:p>
    <w:p>
      <w:pPr>
        <w:spacing w:after="0" w:line="13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covenants contained in the Pharmakon Loan Agreement could cause us to be unable to pursue business opportunities that we or our stockholders may consider beneficial without the lenders’ permission or without repaying all outstanding obligations under the Pharmakon Loan Agreement.</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Pharmakon Loan Agreement. An event of default will also occur if, among other things, we fail to pay amounts due under the Pharmakon Loan Agreement, we fail to repay certain other indebtedness having an aggregate principal amount in excess of a threshold amount, an insolvency event occurs with respect to us, judgments for the payment of money in excess of a threshold amount are entered into against us, a material adverse change in our business, assets, properties, liabilities, or condition occurs, or a material impairment of our ability to perform our obligations under the Pharmakon Loan Agreement occurs, certain negative regulatory events occur, including, without limitation, certain withdrawal events with respect to ORLADEYO, or we fail to make required payments under our Royalty Purchase Agreements. In the case of a continuing event of default under the Pharmakon Loan Agreement, the lenders under the Pharmakon Loan Agreement could elect to declare all amounts outstanding to be immediately due and payable, proceed against the collateral in which we granted to the lenders a security interest, or otherwise exercise the rights of a secured creditor. Amounts outstanding under the Pharmakon Loan Agreement are secured by a security interest in, subject to certain exceptions, substantially all of our assets. Because substantially all of our assets are pledged to secure the Pharmakon Loan Agreement obligations, our ability to incur additional secured indebtedness or to sell or dispose of assets to raise capital may be impaired, which could have an adverse effect on our financial flexibility.</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International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legal, regulatory, political, operational, financial, and economic risks.</w:t>
      </w:r>
    </w:p>
    <w:p>
      <w:pPr>
        <w:spacing w:after="0" w:line="189"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international expansion, including the commercialization of products outside of the United States. In addition, we currently conduct clinical studies and regulatory activities and have hired, and expect to continue hiring, employees outside of the United States. Doing business internationally involves a number of risks, including, but not limited to:</w:t>
      </w:r>
    </w:p>
    <w:p>
      <w:pPr>
        <w:spacing w:after="0" w:line="135" w:lineRule="exact"/>
        <w:rPr>
          <w:sz w:val="20"/>
          <w:szCs w:val="20"/>
          <w:color w:val="auto"/>
        </w:rPr>
      </w:pPr>
    </w:p>
    <w:p>
      <w:pPr>
        <w:ind w:left="1140" w:right="20" w:hanging="322"/>
        <w:spacing w:after="0" w:line="261"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health authority requirements and/or changes in health authority expectations;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partners to obtain and maintain regulatory approvals for the use of our products in various countries;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and maintaining protection for, and enforcing, our intellectual property;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w:t>
      </w:r>
    </w:p>
    <w:p>
      <w:pPr>
        <w:spacing w:after="0" w:line="9" w:lineRule="exact"/>
        <w:rPr>
          <w:rFonts w:ascii="Times New Roman" w:cs="Times New Roman" w:eastAsia="Times New Roman" w:hAnsi="Times New Roman"/>
          <w:sz w:val="18"/>
          <w:szCs w:val="18"/>
          <w:color w:val="auto"/>
        </w:rPr>
      </w:pPr>
    </w:p>
    <w:p>
      <w:pPr>
        <w:ind w:left="1140" w:right="20" w:hanging="322"/>
        <w:spacing w:after="0" w:line="250"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fluctuating U.S. dollar;</w:t>
      </w:r>
    </w:p>
    <w:p>
      <w:pPr>
        <w:spacing w:after="0" w:line="1" w:lineRule="exact"/>
        <w:rPr>
          <w:rFonts w:ascii="Times New Roman" w:cs="Times New Roman" w:eastAsia="Times New Roman" w:hAnsi="Times New Roman"/>
          <w:sz w:val="18"/>
          <w:szCs w:val="18"/>
          <w:color w:val="auto"/>
        </w:rPr>
      </w:pPr>
    </w:p>
    <w:p>
      <w:pPr>
        <w:ind w:left="1140" w:right="120" w:hanging="322"/>
        <w:spacing w:after="0" w:line="250"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political and economic instability, including wars, terrorism, political unrest, results of certain elections and votes, actual or threatened public health emergencies and outbreak of disease, epidemics or pandemics (e.g., the COVID-19 pandemic), boycotts, adoption or expansion of government trade restrictions, and other business restrictions;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w:t>
      </w:r>
    </w:p>
    <w:p>
      <w:pPr>
        <w:spacing w:after="0" w:line="9" w:lineRule="exact"/>
        <w:rPr>
          <w:rFonts w:ascii="Times New Roman" w:cs="Times New Roman" w:eastAsia="Times New Roman" w:hAnsi="Times New Roman"/>
          <w:sz w:val="18"/>
          <w:szCs w:val="18"/>
          <w:color w:val="auto"/>
        </w:rPr>
      </w:pPr>
    </w:p>
    <w:p>
      <w:pPr>
        <w:ind w:left="1140" w:hanging="322"/>
        <w:spacing w:after="0" w:line="250"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or the U.K. Bribery Act and similar foreign laws and regulations; and</w:t>
      </w:r>
    </w:p>
    <w:p>
      <w:pPr>
        <w:spacing w:after="0" w:line="1" w:lineRule="exact"/>
        <w:rPr>
          <w:rFonts w:ascii="Times New Roman" w:cs="Times New Roman" w:eastAsia="Times New Roman" w:hAnsi="Times New Roman"/>
          <w:sz w:val="18"/>
          <w:szCs w:val="18"/>
          <w:color w:val="auto"/>
        </w:rPr>
      </w:pPr>
    </w:p>
    <w:p>
      <w:pPr>
        <w:ind w:left="1140" w:right="80" w:hanging="322"/>
        <w:spacing w:after="0" w:line="260"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of these factors could significantly harm our international expansion of operations and adversely affect our business and results of operations.</w:t>
      </w:r>
    </w:p>
    <w:p>
      <w:pPr>
        <w:spacing w:after="0" w:line="18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Additionally, in some countries, such as Japan and the countries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fluctuations could have an adverse impact on our results of operations, financial position, and cash flows.</w:t>
      </w:r>
    </w:p>
    <w:p>
      <w:pPr>
        <w:spacing w:after="0" w:line="202" w:lineRule="exact"/>
        <w:rPr>
          <w:sz w:val="20"/>
          <w:szCs w:val="20"/>
          <w:color w:val="auto"/>
        </w:rPr>
      </w:pPr>
    </w:p>
    <w:p>
      <w:pPr>
        <w:ind w:right="40" w:firstLine="486"/>
        <w:spacing w:after="0" w:line="273" w:lineRule="auto"/>
        <w:rPr>
          <w:sz w:val="20"/>
          <w:szCs w:val="20"/>
          <w:color w:val="auto"/>
        </w:rPr>
      </w:pPr>
      <w:r>
        <w:rPr>
          <w:rFonts w:ascii="Times New Roman" w:cs="Times New Roman" w:eastAsia="Times New Roman" w:hAnsi="Times New Roman"/>
          <w:sz w:val="17"/>
          <w:szCs w:val="17"/>
          <w:color w:val="auto"/>
        </w:rPr>
        <w:t>We conduct operations in many countries outside of the United States involving transactions in a variety of currencies other than the U.S. dollar. These transactions include, without limitation, commercial sales, contract manufacturing, and clinical trial activities. Although most of our revenues and expenses are denominated in U.S. dollars, our commercial sales in Europe are primarily denominated in Euros and British Pounds. We also have foreign currency exposure to fluctuations in other foreign currencies, such as the Swiss Franc, Danish Krone, Swedish Krona, Norwegian Krone, Japanese Yen and Canadian Dollar. Changes in the value of these currencies relative to the U.S. dollar may impact our condensed consolidated operating results, including our revenues and expenses, causing fluctuations in our operating results from period to period and/or resulting in foreign currency transaction losses that adversely impact our results of operations, financial position, and cash flows. As we continue to expand our operations internationally, our exposure to</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color w:val="auto"/>
        </w:rPr>
        <w:t>foreign currency transaction gains or losses may become more significant. See “</w:t>
      </w:r>
      <w:r>
        <w:rPr>
          <w:rFonts w:ascii="Times New Roman" w:cs="Times New Roman" w:eastAsia="Times New Roman" w:hAnsi="Times New Roman"/>
          <w:sz w:val="18"/>
          <w:szCs w:val="18"/>
          <w:i w:val="1"/>
          <w:iCs w:val="1"/>
          <w:color w:val="auto"/>
        </w:rPr>
        <w:t>Quantitative and Qualitative Disclosures about Market Risk—Foreign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Currency Risk</w:t>
      </w:r>
      <w:r>
        <w:rPr>
          <w:rFonts w:ascii="Times New Roman" w:cs="Times New Roman" w:eastAsia="Times New Roman" w:hAnsi="Times New Roman"/>
          <w:sz w:val="18"/>
          <w:szCs w:val="18"/>
          <w:color w:val="auto"/>
        </w:rPr>
        <w:t>” in Part I, Item 3 of this report for additional information about our foreign currency risk.</w:t>
      </w:r>
    </w:p>
    <w:p>
      <w:pPr>
        <w:spacing w:after="0" w:line="12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European governmental laws and regulations and other legal obligations related to privacy, data protection and information security could harm our business.</w:t>
      </w:r>
    </w:p>
    <w:p>
      <w:pPr>
        <w:spacing w:after="0" w:line="11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Outside the United States, an increasing number of laws and regulations may govern data privacy and security. EU member states, the United Kingdom, Switzerland and other countries have adopted data protection laws and regulations, which impose significant compliance obligations. These laws include the GDPR and similar national legislation within the EEA, the United Kingdom GDPR, Switzerland’s Federal Data Protection Act, the EU Clinical Trials Regulation, and the e-Privacy Directive (2002/58/EC), and are discussed in more detail in “</w:t>
      </w:r>
      <w:r>
        <w:rPr>
          <w:rFonts w:ascii="Times New Roman" w:cs="Times New Roman" w:eastAsia="Times New Roman" w:hAnsi="Times New Roman"/>
          <w:sz w:val="18"/>
          <w:szCs w:val="18"/>
          <w:i w:val="1"/>
          <w:iCs w:val="1"/>
          <w:color w:val="auto"/>
        </w:rPr>
        <w:t>Business—Government Regulation—Data Privacy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 Laws</w:t>
      </w:r>
      <w:r>
        <w:rPr>
          <w:rFonts w:ascii="Times New Roman" w:cs="Times New Roman" w:eastAsia="Times New Roman" w:hAnsi="Times New Roman"/>
          <w:sz w:val="18"/>
          <w:szCs w:val="18"/>
          <w:color w:val="auto"/>
        </w:rPr>
        <w:t>” in Part I, Item 1 of our most recent Annual Report on Form 10-K. Failure to comply with the requirements of these laws may result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fines. For example, the GDPR or related national data protection laws, which may deviate from the GDPR, may result in significant fines of up to 4% of global revenues, or €20.0 million, whichever is greater.</w:t>
      </w:r>
    </w:p>
    <w:p>
      <w:pPr>
        <w:spacing w:after="0" w:line="14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such fines, failure to comply with the requirements of the GDPR or similar national legislation may result in temporary or definitive bans on data processing and other corrective actions and subject us to litigation and/or adverse publicity, which could have material adverse effects on our reputation and business. As a result of the implementation of the GDPR,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spacing w:after="0" w:line="16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Compliance with evolving laws regarding the transfer of personal data to the United States and other countries also requires increased resources and may result in increased exposure to regulatory actions, fines and penalties, the inability to transfer data and work with partners, vendors and other third parties, and injunctions against our processing or transferring of personal data necessary to operate our business. We are also subject to evolving European privacy laws on electronic marketing and cookies. The European Union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spacing w:after="0" w:line="14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Compliance with the requirements imposed by the GDPR and other such laws can be time-consuming, expensive and difficult, and may increase our cost of doing business or require us to change our business practices, and despite our efforts we may not be successful in achieving compliance if our personnel, collaborators, partners or vendors do not comply with applicable data protection obligations.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spacing w:after="0" w:line="144"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United Kingdom</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decision to withdraw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0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United Kingdom’s exit from the European Union,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European Union, and result in increased legal and regulatory complexities, as well as potential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higher costs of conducting business in Europe. The long-term effects of Brexit will depend in part on how the current and future trade agreements between the United Kingdom and the European Union take effect in practice. Changes in U.K.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spacing w:after="0" w:line="153"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cumulative effects of the disruption to the regulatory framework may add considerably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European Union and restrict our ability to generate revenues and achieve and sustain profitability.</w:t>
      </w:r>
    </w:p>
    <w:p>
      <w:pPr>
        <w:spacing w:after="0" w:line="147"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addition, 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and how such withdrawal will affect us, and the full extent to which our business could be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Technology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facilities, or the facilities of our third-party vendors, incur damage or power is lost for a significant length of time, our business will suffer.</w:t>
      </w:r>
    </w:p>
    <w:p>
      <w:pPr>
        <w:spacing w:after="0" w:line="18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and our third-party vendors store commercial product, clinical and stability samples, and manufacturing data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spacing w:after="0" w:line="13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store most of our preclinical and clinical data at our facilities. While duplicate copies of most clinical data are secured off-site, and a significant portion of our data is included in regular backups of our systems, we could lose important data if our facilities incur damage, or if our vendor data systems fail, suffer damage or are destroyed.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incidents and related disruptions in our or our third-party vendors’ information technology systems could adversely affect our business.</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to operate our business. In addition, the FDA and comparable foreign regulatory authorities regulate, among other things, the record keeping and storage of data pertaining to potential pharmaceutical products. Like other companies in our industry, our information technology systems and infrastructure (as well as those of our third-party providers) and our lab equipment and operations technology may be vulnerable to cyber incidents, intrusions, and other similar activities that threaten the confidentiality, integrity, and availability of our information. These threats come from a variety of sources, including by computer hackers, foreign governments, foreign companies, or competitors, or may be breached by employee error, malfeasance or other disruption. These threats are prevalent, continue to rise, and are becoming increasingly difficult to detect. Recently, there have been reports of disruptions in billing and data systems in healthcare (e.g., the cybersecurity incident affecting Change Healthcare in February 2024). Such cybersecurity events which materially disrupt the healthcare system upon which our business relies could adversely affect our business if such disruption is widespread and continues for an extended period of time.</w:t>
      </w:r>
    </w:p>
    <w:p>
      <w:pPr>
        <w:spacing w:after="0" w:line="14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Cyber incidents could also include the use of artificial intelligence (“AI”) and machine learning to launch more automated, targeted and coordinated attacks on targets. Cyber incidents may lead to operational outages, loss of intellectual property due to industrial espionage, malware, and financial or data attacks via social engineering. These risks have increased as we have experienced significant growth in the number of our employees and the scope of our operations and as virtual and remote working have become more widely used, and sensitive data is accessed by employees working in less secure, home-based environments. A breakdown, invasion, corruption, destruction, or interruption of information technology systems could negatively impact operations. If our systems are damaged, fail to function properly or otherwise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become unavailable, we may incur substantial costs to repair or replace them, and we may experience loss of critical data and interruptions or delays in our ability to perform critical functions, which could adversely affect our business, financial condition or results of operations.</w:t>
      </w:r>
    </w:p>
    <w:p>
      <w:pPr>
        <w:spacing w:after="0" w:line="13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Similarly, the increasing use of AI and machine learning technology in the biopharmaceutical industry presents new risks and challenges. The use of AI-based software may lead to the inadvertent release of confidential or proprietary information, which may adversely impact our ability to realize the benefit of our intellectual property, cause us to incur liabilities as the result of any breaches of confidentiality or impact our ability to comply with data security and privacy laws.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In addition, we rely on third-party service providers and technologies to operate significant information technology systems and business infrastructure, and we currently use these providers to perform business critical information technology and business services. Supply-chain attacks have increased in frequency and severity, and we cannot guarantee that third parties’ infrastructure in our supply chain or our third-party partners’ supply chains have not been or will not be compromised.</w:t>
      </w:r>
    </w:p>
    <w:p>
      <w:pPr>
        <w:spacing w:after="0" w:line="148"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We have experienced cybersecurity threats and incidents, which to date have not had a material impact on our reputation, business, financial condition, or operations; however; there is no assurance that such impacts will not be material in the future.</w:t>
      </w:r>
    </w:p>
    <w:p>
      <w:pPr>
        <w:spacing w:after="0" w:line="12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Any compromise of our data security could also result in a violation of applicable privacy and other laws, significant legal, regulatory, and financial exposure, damage to our reputation, loss or misuse of the information and a loss of confidence in our data security measures, which could harm our business. Loss or misuse of our intellectual property, clinical trial data, or commercially sensitive data could adversely impact our business. While we have implemented security measures designed to protect against security incidents and a significant portion of our data is included in regular backups of our systems, there can be no assurance that our efforts to protect our data and information technology systems will prevent breakdowns or breaches in our systems, or those of third parties with which we do business, and any such events could adversely affect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Operational Risks</w:t>
      </w:r>
    </w:p>
    <w:p>
      <w:pPr>
        <w:spacing w:after="0" w:line="18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Health epidemics or pandemics could materially adversely affect our business, operations, clinical development or commercialization plans and timelines, or that of third parties with whom we conduct business, including, without limitation, our development partners, manufacturers, CROs, and others, as well as the regulatory and government agencies with whom we work.</w:t>
      </w:r>
    </w:p>
    <w:p>
      <w:pPr>
        <w:spacing w:after="0" w:line="134"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A health epidemic or pandemic, such as the COVID-19 pandemic, and related government orders or evolving business policies and procedures, could cause disruptions to our business, operations, and clinical development or commercialization plans and timelines, as well as the business and operations of third parties with whom we conduct business.</w:t>
      </w:r>
    </w:p>
    <w:p>
      <w:pPr>
        <w:spacing w:after="0" w:line="149" w:lineRule="exact"/>
        <w:rPr>
          <w:sz w:val="20"/>
          <w:szCs w:val="20"/>
          <w:color w:val="auto"/>
        </w:rPr>
      </w:pPr>
    </w:p>
    <w:p>
      <w:pPr>
        <w:ind w:right="460" w:firstLine="486"/>
        <w:spacing w:after="0" w:line="256" w:lineRule="auto"/>
        <w:rPr>
          <w:sz w:val="20"/>
          <w:szCs w:val="20"/>
          <w:color w:val="auto"/>
        </w:rPr>
      </w:pPr>
      <w:r>
        <w:rPr>
          <w:rFonts w:ascii="Times New Roman" w:cs="Times New Roman" w:eastAsia="Times New Roman" w:hAnsi="Times New Roman"/>
          <w:sz w:val="18"/>
          <w:szCs w:val="18"/>
          <w:color w:val="auto"/>
        </w:rPr>
        <w:t>If our operations or those of third parties with whom we conduct business, such as development partners, manufacturers, CROs and others, are impaired or curtailed as a result of such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w:t>
      </w:r>
    </w:p>
    <w:p>
      <w:pPr>
        <w:spacing w:after="0" w:line="147" w:lineRule="exact"/>
        <w:rPr>
          <w:sz w:val="20"/>
          <w:szCs w:val="20"/>
          <w:color w:val="auto"/>
        </w:rPr>
      </w:pPr>
    </w:p>
    <w:p>
      <w:pPr>
        <w:ind w:right="460" w:firstLine="486"/>
        <w:spacing w:after="0" w:line="261" w:lineRule="auto"/>
        <w:rPr>
          <w:sz w:val="20"/>
          <w:szCs w:val="20"/>
          <w:color w:val="auto"/>
        </w:rPr>
      </w:pPr>
      <w:r>
        <w:rPr>
          <w:rFonts w:ascii="Times New Roman" w:cs="Times New Roman" w:eastAsia="Times New Roman" w:hAnsi="Times New Roman"/>
          <w:sz w:val="18"/>
          <w:szCs w:val="18"/>
          <w:color w:val="auto"/>
        </w:rPr>
        <w:t>In addition, our clinical trials were affected by the COVID-19 pandemic and we may experience similar delays or interruptions due to health epidemics or pandemics in the future, which could adversely impact our clinical trial operations. Health epidemics or pandemics could also affect the operations of regulators and other health and governmental authorities, which could result in delays of reviews and approvals, inspections, or other regulatory activities, including as we continue to expand internationally and bring ORLADEYO to additional global markets.</w:t>
      </w:r>
    </w:p>
    <w:p>
      <w:pPr>
        <w:spacing w:after="0" w:line="13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global impact of a health epidemic or pandemic, such as the COVID-19 pandemic, could also materially affect global economies and financial markets, which could reduce our ability to access the equity or debt capital markets or obtain other sources of capital if needed, which could negatively affect our liquidity. In addition, a recession or market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correction could materially affect our business and the value of our common stock. Health epidemics or pandemics could also have the effect of heightening many of the other risks described in this report.</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clinical development or commercialization plans and timelines, and access to capital could be adversely affected by unpredictable and unstable market and economic conditions.</w:t>
      </w:r>
    </w:p>
    <w:p>
      <w:pPr>
        <w:spacing w:after="0" w:line="11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business, operations, clinical development or commercialization plans and timelines, and access to capital could be adversely affected by unpredictable and unstable market and economic conditions, including as a result of inflation, increased interest rates, disruption or instability in the banking industry, foreign exchange rate fluctuations, potential U.S. Government shutdowns, instability in connection with the presidential election in the United States, geopolitical instability, actual or threatened public health emergencies, or outbreaks of disease, epidemics or pandemics (such as the COVID-19 pandemic). The magnitude, duration and long-term effect of each of these factors, as well as the effects of actions taken by governments to address them, are unknown at this time, but they could result in further significant disruption of the global economy and financial markets. Our business may be adversely affected by any related economic downturn, volatile geopolitical and business environment, or continued market instability.</w:t>
      </w:r>
    </w:p>
    <w:p>
      <w:pPr>
        <w:spacing w:after="0" w:line="14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Unstable market and economic conditions could materially affect our ability to access the equity or debt capital markets or obtain other sources of capital if needed in the future, which could negatively affect our liquidity. In addition, a recession or market correction could materially affect our business and the value of our common stock.</w:t>
      </w:r>
    </w:p>
    <w:p>
      <w:pPr>
        <w:spacing w:after="0" w:line="14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Market and economic conditions continue to evolve, with the ultimate impacts being uncertain and subject to change. These effects could be material, and we will continue to monitor the economic climate closely. We do not yet know the full extent and magnitude of the impacts that these developments will have on our business, on the healthcare system, or on the global economy. In addition, unstable market conditions could have the effect of heightening many of the other risks described in this report.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is increasingly more costly and difficult to obtain or maintain.</w:t>
      </w:r>
    </w:p>
    <w:p>
      <w:pPr>
        <w:spacing w:after="0" w:line="18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spacing w:after="0" w:line="15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18"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are highly dependent upon our senior management and scientific team, the unexpected loss of whose services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would harm our business because we rely upon these personnel for many important functions of our business.</w:t>
      </w:r>
    </w:p>
    <w:p>
      <w:pPr>
        <w:spacing w:after="0" w:line="13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risk management committee and other compliance methods are not effective, our business, financial condition and operating results may be adversely affected.</w:t>
      </w:r>
    </w:p>
    <w:p>
      <w:pPr>
        <w:spacing w:after="0" w:line="132"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Our ability to identify, manage and respond to the various risks related to our business is largely dependent on our established and maintained compliance, risk, audit and reporting systems and procedures. The Board of Directors has ultimate responsibility for risk oversight of the Company and carries out this duty through its committees. The Board of Directors may delegate oversight authority with respect to certain issues in a committee’s applicable areas of expertise. At the Company level, our senior management team similarly monitors risk through the risk management committee and other sub-committees focused on specific areas of risk (e.g., cybersecurity, quality assurance). Membership of the risk management committee consists primarily of key department heads who are asked to bring to such committee relevant items for discussion that they or their teams have identified at the numerous sub-committees these individuals chair or attend. The risk management committee, along with the other sub-committees in the Company, identifies key risks and mitigation strategies which are reported directly to our senior management, the Audit Committee and to the full Board of Directors on a regular basis.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If our policies, procedures, and compliance systems, including our risk management committee, are not effective, or if we are not successful in monitoring or evaluating the risks to which we are or may be exposed, our business, reputation, financial condition and operating results could be materially adversely affected. We cannot provide assurance that our policies and procedures will always be effective, or that our management or the risk management committee would be able to identify any such ineffectiveness. If our compliance and risk management strategies are not effective, our business, financial condition and operating results may be adversely affected.</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partnerships, alliances, or divestitures could be difficult to identify and integrate, divert the attention of management, disrupt our business, dilute stockholder value, materially change the risk profile of the Company and could fail to meet our expectations, any of which could adversely affect our operating results and financial condition.</w:t>
      </w:r>
    </w:p>
    <w:p>
      <w:pPr>
        <w:spacing w:after="0" w:line="134"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products or technologies that we believe could complement or expand our portfolio or otherwise offer growth opportunities. The pursuit of potential acquisitions may divert the attention of management and cause us to incur various expenses in identifying, investigating and pursuing businesses or products. In addition, we may not be able to find and identify desirable acquisition targets or be successful in entering into an agreement with any particular target or consummating any such agreement. Even if we do consummate an acquisition, in connection therewith we may be required to issue equity (thereby diluting our current stockholders) or debt, we may not be able to integrate successfully the acquired personnel, operations and technologies, or effectively manage the combined business following the acquisition, or the acquired business could otherwise fail to meet our expectations, which, in each case, could have a material adverse effect on our business projections, financial condition, results of operations and prospects.</w:t>
      </w:r>
    </w:p>
    <w:p>
      <w:pPr>
        <w:spacing w:after="0" w:line="15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we may divest or license all or a portion of certain business or product categories, which could cause a decline in revenue or profitability and may make our financial results more volatile. We may be unable to complete any such divestiture or license on terms favorable to us, within the expected timeframes, or at all. We may have continued financial exposure to divested or licensed businesses following the completion of any such transaction, including increased costs due to potential litigation, contingent liabilities and indemnification of the buyer or licensee related to, among other things, lawsuits, regulatory matters or tax liabilities. Such divestitures or licenses may also divert management’s attention from our core businesses and lead to potential issues with employees, customers or suppliers.</w:t>
      </w:r>
    </w:p>
    <w:p>
      <w:pPr>
        <w:spacing w:after="0" w:line="15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stockholder activism or hostile bids, which could cause us to incur significant expense, hinder execution of our business strategy and impact our stock price.</w:t>
      </w:r>
    </w:p>
    <w:p>
      <w:pPr>
        <w:spacing w:after="0" w:line="118" w:lineRule="exact"/>
        <w:rPr>
          <w:sz w:val="20"/>
          <w:szCs w:val="20"/>
          <w:color w:val="auto"/>
        </w:rPr>
      </w:pPr>
    </w:p>
    <w:p>
      <w:pPr>
        <w:ind w:firstLine="486"/>
        <w:spacing w:after="0" w:line="274" w:lineRule="auto"/>
        <w:rPr>
          <w:sz w:val="20"/>
          <w:szCs w:val="20"/>
          <w:color w:val="auto"/>
        </w:rPr>
      </w:pPr>
      <w:r>
        <w:rPr>
          <w:rFonts w:ascii="Times New Roman" w:cs="Times New Roman" w:eastAsia="Times New Roman" w:hAnsi="Times New Roman"/>
          <w:sz w:val="17"/>
          <w:szCs w:val="17"/>
          <w:color w:val="auto"/>
        </w:rPr>
        <w:t>Stockholder activism, which takes many forms and arises in a variety of situations, has been increasingly prevalent. Stock price declines may also increase our vulnerability to unsolicited approaches. If we become the subject of certain forms of stockholder activism, such as proxy contests or hostile bids, the attention of our management and our Board of Directors may be diverted from execution of our strategy. Such stockholder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stockholder matters. Our stock price could be subject to significant fluctuation or otherwise be adversely affected by the events, risks and uncertainties of any stockholder activism.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Investing in Our Common Stock</w:t>
      </w:r>
    </w:p>
    <w:p>
      <w:pPr>
        <w:spacing w:after="0" w:line="19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principal stockholders hold a substantial amount of our common stock and may be able to influence significant corporate decisions, which may conflict with the interest of other stockholders.</w:t>
      </w:r>
    </w:p>
    <w:p>
      <w:pPr>
        <w:spacing w:after="0" w:line="1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Some of our stockholders own greater than 5% of our outstanding common stock. Our top ten stockholders own approximately 45% 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continue to be, highly volatile, which could cause the value of an investment in our common stock to decline significantly.</w:t>
      </w:r>
    </w:p>
    <w:p>
      <w:pPr>
        <w:spacing w:after="0" w:line="13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September 30, 2024, the 52-week range of the market price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stock was from $4.03 to $8.88 per share. The following factors, in addition to other risk factors described in this section, may have, and in some cases have had, a significant impact on the market price of our common stock:</w:t>
      </w:r>
    </w:p>
    <w:p>
      <w:pPr>
        <w:spacing w:after="0" w:line="135" w:lineRule="exact"/>
        <w:rPr>
          <w:sz w:val="20"/>
          <w:szCs w:val="20"/>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products by us or our competitors;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proprietary rights;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dilution through sales of our common stock or other derivative securities;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new or existing licensing or collaborative agreements and government contracts;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status of our programs;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our partners achieving or failing to achieve development milestones;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medical results relating to products under development by us or our competitors;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certain public health concerns for which we are or may be developing treatments;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both the United States and foreign countries;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pharmaceutical products;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 and the comparison of such estimates to our actual results;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automated financial platforms’ treatment or classification of our financial information;</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public guidance;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including developments in price control legislation;</w:t>
      </w:r>
    </w:p>
    <w:p>
      <w:pPr>
        <w:spacing w:after="0" w:line="9" w:lineRule="exact"/>
        <w:rPr>
          <w:rFonts w:ascii="Times New Roman" w:cs="Times New Roman" w:eastAsia="Times New Roman" w:hAnsi="Times New Roman"/>
          <w:sz w:val="18"/>
          <w:szCs w:val="18"/>
          <w:color w:val="auto"/>
        </w:rPr>
      </w:pPr>
    </w:p>
    <w:p>
      <w:pPr>
        <w:ind w:left="1140" w:right="360" w:hanging="322"/>
        <w:spacing w:after="0" w:line="250" w:lineRule="auto"/>
        <w:tabs>
          <w:tab w:leader="none" w:pos="11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other monetization transactions;</w:t>
      </w: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or members of our Board of Directors;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substantial amounts of our stock by existing stockholders, including officers or directors;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or other disasters or crises;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66"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spacing w:after="0" w:line="13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may negatively impact the trading price of our common stock.</w:t>
      </w:r>
    </w:p>
    <w:p>
      <w:pPr>
        <w:spacing w:after="0" w:line="20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As a public company, we are required to maintain effective internal control over financial reporting and effective disclosure controls and procedures. If we identify one or more material weaknesses in our internal control over financial reporting, we will not be able to assert that our internal controls and procedures are effective. A material weakness, as defined in Rule 12b-2 under the Securities Exchange Act of 1934, as amended (the “Exchange Act”), is a deficiency, or combination of deficiencies, in internal control over financial reporting such that there is a reasonable possibility that a material misstatement of annual or interim financial statements will not be prevented or detected on a timely basis. In 2023, we identified and timely reported two material weaknesses in our internal control over financial reporting, which management determined to be subsequently remediated as of December 31, 2023 and September 30, 2024, respectively.</w:t>
      </w:r>
    </w:p>
    <w:p>
      <w:pPr>
        <w:spacing w:after="0" w:line="216" w:lineRule="exact"/>
        <w:rPr>
          <w:sz w:val="20"/>
          <w:szCs w:val="20"/>
          <w:color w:val="auto"/>
        </w:rPr>
      </w:pPr>
    </w:p>
    <w:p>
      <w:pPr>
        <w:ind w:right="460" w:firstLine="486"/>
        <w:spacing w:after="0" w:line="258" w:lineRule="auto"/>
        <w:rPr>
          <w:sz w:val="20"/>
          <w:szCs w:val="20"/>
          <w:color w:val="auto"/>
        </w:rPr>
      </w:pPr>
      <w:r>
        <w:rPr>
          <w:rFonts w:ascii="Times New Roman" w:cs="Times New Roman" w:eastAsia="Times New Roman" w:hAnsi="Times New Roman"/>
          <w:sz w:val="18"/>
          <w:szCs w:val="18"/>
          <w:color w:val="auto"/>
        </w:rPr>
        <w:t>Although we believe the financial statements included in this report fairly present, in all material respects, our financial condition, results of operations and cash flows for the periods presented in conformity with U.S. GAAP, any failure to maintain effective internal control over financial reporting could severely inhibit our ability to accurately report our financial condition, results of operations or cash flows. If our internal control over financial reporting is not effective, investors may lose confidence in the accuracy and completeness of our financial reports, the market price of our common stock could decline, and we could be subject to sanctions or investigations by Nasdaq, the SEC or other regulatory authorities.</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securities may dilute the ownership interests of our current stockholders and cause our stock price to decline.</w:t>
      </w:r>
    </w:p>
    <w:p>
      <w:pPr>
        <w:spacing w:after="0" w:line="20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Future sales of our common stock by us or our current stockholders into the public market could cause the market price of our stock to fall. As of October 31, 2024, there were 207,132,571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spacing w:after="0" w:line="13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of October 31, 2024, there were 38,418,320 stock options and restricted stock units outstanding and 12,456,834 shares available for issuance under our Amended and Restated Stock Incentive Plan, 5,960,671 stock options and restricted stock units outstanding and 1,776,682 shares available for issuance under our Amended and Restated Inducement Equity Incentive Plan, and 5,042,369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restricted stock units and stock awards have been, or will be, registered pursuant to registration statements on Form S-8.</w:t>
      </w:r>
    </w:p>
    <w:p>
      <w:pPr>
        <w:spacing w:after="0" w:line="14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anti-takeover provisions in our corporate charter documents that may result in outcomes with which you do not agree.</w:t>
      </w:r>
    </w:p>
    <w:p>
      <w:pPr>
        <w:spacing w:after="0" w:line="189" w:lineRule="exact"/>
        <w:rPr>
          <w:sz w:val="20"/>
          <w:szCs w:val="20"/>
          <w:color w:val="auto"/>
        </w:rPr>
      </w:pPr>
    </w:p>
    <w:p>
      <w:pPr>
        <w:jc w:val="both"/>
        <w:ind w:right="220" w:firstLine="486"/>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spacing w:after="0" w:line="139" w:lineRule="exact"/>
        <w:rPr>
          <w:sz w:val="20"/>
          <w:szCs w:val="20"/>
          <w:color w:val="auto"/>
        </w:rPr>
      </w:pPr>
    </w:p>
    <w:p>
      <w:pPr>
        <w:jc w:val="both"/>
        <w:ind w:right="120" w:firstLine="486"/>
        <w:spacing w:after="0" w:line="261" w:lineRule="auto"/>
        <w:rPr>
          <w:sz w:val="20"/>
          <w:szCs w:val="20"/>
          <w:color w:val="auto"/>
        </w:rPr>
      </w:pPr>
      <w:r>
        <w:rPr>
          <w:rFonts w:ascii="Times New Roman" w:cs="Times New Roman" w:eastAsia="Times New Roman" w:hAnsi="Times New Roman"/>
          <w:sz w:val="18"/>
          <w:szCs w:val="18"/>
          <w:color w:val="auto"/>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Amended and Restated By-Laws and of Delaware law applicable to us could delay or make more difficult a merger, tender offer or proxy contest involving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common stock and do not anticipate doing so in the foreseeable future.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never paid cash dividends on our stock. We currently intend to retain all future earnings, if any, for use in the operation of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do not anticipate paying cash dividends on our common stock in the foreseeable future.</w:t>
      </w:r>
    </w:p>
    <w:p>
      <w:pPr>
        <w:spacing w:after="0" w:line="16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sole and exclusive forum for certain litigation that may be initiated by our stockholders, which may limit a stockholder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obtain a favorable judicial forum for such disputes with us or our directors, officers or employees.</w:t>
      </w:r>
    </w:p>
    <w:p>
      <w:pPr>
        <w:spacing w:after="0" w:line="14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of 1933, as amended, or the Exchange Act, or any other claim for which the federal courts have exclusive jurisdiction.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spacing w:after="0" w:line="11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 wide variety of events beyond our control, such as natural disasters (including as a result of climate change), epidemic or pandemic disease outbreaks (such as the COVID-19 pandemic), trade wars, armed conflict, political unrest, government shutdowns, instability in connection with the presidential election in the United States, or other events could disrupt our business or operations or those of our development partners, manufacturers, regulatory authorities, or other third parties with whom we conduct business. These events may cause businesses and government agencies to be shut down, supply chains or trade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for example, “</w:t>
      </w:r>
      <w:r>
        <w:rPr>
          <w:rFonts w:ascii="Times New Roman" w:cs="Times New Roman" w:eastAsia="Times New Roman" w:hAnsi="Times New Roman"/>
          <w:sz w:val="18"/>
          <w:szCs w:val="18"/>
          <w:i w:val="1"/>
          <w:iCs w:val="1"/>
          <w:color w:val="auto"/>
        </w:rPr>
        <w:t>Risk Factors—Risks Relating to Our Business—Other Operational Risks—Our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operations, clinical development or commercialization plans and timelines, and access to capital could be adversely affected by unpredictable and unstable market and economic conditions</w:t>
      </w:r>
      <w:r>
        <w:rPr>
          <w:rFonts w:ascii="Times New Roman" w:cs="Times New Roman" w:eastAsia="Times New Roman" w:hAnsi="Times New Roman"/>
          <w:sz w:val="18"/>
          <w:szCs w:val="18"/>
          <w:color w:val="auto"/>
        </w:rPr>
        <w:t>.” In addition, other events, such as the Ukraine-Russia and Middle East conflicts, or rising tensions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 and Taiwan, could adversely impact our business. For example, the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which could harm our reputation or result in other losses or unexpected expenditure of time and resources.</w:t>
      </w:r>
    </w:p>
    <w:p>
      <w:pPr>
        <w:spacing w:after="0" w:line="18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 An unfavorable outcome in any such proceeding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Trading Arrangements</w:t>
      </w:r>
    </w:p>
    <w:p>
      <w:pPr>
        <w:spacing w:after="0" w:line="189" w:lineRule="exact"/>
        <w:rPr>
          <w:sz w:val="20"/>
          <w:szCs w:val="20"/>
          <w:color w:val="auto"/>
        </w:rPr>
      </w:pPr>
    </w:p>
    <w:p>
      <w:pPr>
        <w:ind w:right="9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ectPr>
          <w:pgSz w:w="11900" w:h="16838" w:orient="portrait"/>
          <w:cols w:equalWidth="0" w:num="1">
            <w:col w:w="10139"/>
          </w:cols>
          <w:pgMar w:left="320" w:top="121" w:right="1440" w:bottom="1440" w:gutter="0" w:footer="0" w:header="0"/>
        </w:sectPr>
      </w:pPr>
    </w:p>
    <w:p>
      <w:pPr>
        <w:spacing w:after="0" w:line="50" w:lineRule="exact"/>
        <w:rPr>
          <w:sz w:val="20"/>
          <w:szCs w:val="20"/>
          <w:color w:val="auto"/>
        </w:rPr>
      </w:pPr>
    </w:p>
    <w:p>
      <w:pPr>
        <w:ind w:left="2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Number </w:t>
      </w: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3.5</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w:t>
      </w: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40" w:lineRule="exact"/>
        <w:rPr>
          <w:sz w:val="20"/>
          <w:szCs w:val="20"/>
          <w:color w:val="auto"/>
        </w:rPr>
      </w:pPr>
    </w:p>
    <w:p>
      <w:pPr>
        <w:ind w:right="1479"/>
        <w:spacing w:after="0" w:line="282" w:lineRule="auto"/>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Third Restated Certificate of Incorporation of Registrant.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Company’s Form 8-K filed December 22, 2006.</w:t>
        </w:r>
      </w:hyperlink>
    </w:p>
    <w:p>
      <w:pPr>
        <w:spacing w:after="0" w:line="270" w:lineRule="exact"/>
        <w:rPr>
          <w:sz w:val="20"/>
          <w:szCs w:val="20"/>
          <w:color w:val="auto"/>
        </w:rPr>
      </w:pPr>
    </w:p>
    <w:p>
      <w:pPr>
        <w:ind w:right="1299"/>
        <w:spacing w:after="0" w:line="282"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Certificate of Amendment to the Third Restated Certificate of Incorporation of Registrant. Incorporated by</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reference to Exhibit 3.1 to the Company’s Form 8-K filed July 24, 2007.</w:t>
        </w:r>
      </w:hyperlink>
    </w:p>
    <w:p>
      <w:pPr>
        <w:spacing w:after="0" w:line="270" w:lineRule="exact"/>
        <w:rPr>
          <w:sz w:val="20"/>
          <w:szCs w:val="20"/>
          <w:color w:val="auto"/>
        </w:rPr>
      </w:pPr>
    </w:p>
    <w:p>
      <w:pPr>
        <w:ind w:right="1299"/>
        <w:spacing w:after="0" w:line="282"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Certificate of Amendment to the Third Restated Certificate of Incorporation of Registrant. Incorporated by</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reference to Exhibit 3.1 to the Company’s Form 8-K filed May 7, 2014.</w:t>
        </w:r>
      </w:hyperlink>
    </w:p>
    <w:p>
      <w:pPr>
        <w:spacing w:after="0" w:line="270" w:lineRule="exact"/>
        <w:rPr>
          <w:sz w:val="20"/>
          <w:szCs w:val="20"/>
          <w:color w:val="auto"/>
        </w:rPr>
      </w:pPr>
    </w:p>
    <w:p>
      <w:pPr>
        <w:ind w:right="1259"/>
        <w:spacing w:after="0" w:line="282"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Certificate of Elimination of the Series B Junior Participating Preferred Stock. Incorporated by reference to</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 xml:space="preserve">Exhibit 3.1 to the Company’s Form 8-K filed May 13, </w:t>
        </w:r>
      </w:hyperlink>
      <w:hyperlink r:id="rId101">
        <w:r>
          <w:rPr>
            <w:rFonts w:ascii="Times New Roman" w:cs="Times New Roman" w:eastAsia="Times New Roman" w:hAnsi="Times New Roman"/>
            <w:sz w:val="18"/>
            <w:szCs w:val="18"/>
            <w:u w:val="single" w:color="auto"/>
            <w:color w:val="0000FF"/>
          </w:rPr>
          <w:t>2020.</w:t>
        </w:r>
      </w:hyperlink>
    </w:p>
    <w:p>
      <w:pPr>
        <w:spacing w:after="0" w:line="270" w:lineRule="exact"/>
        <w:rPr>
          <w:rFonts w:ascii="Times New Roman" w:cs="Times New Roman" w:eastAsia="Times New Roman" w:hAnsi="Times New Roman"/>
          <w:sz w:val="18"/>
          <w:szCs w:val="18"/>
          <w:u w:val="single" w:color="auto"/>
          <w:color w:val="0000FF"/>
        </w:rPr>
      </w:pPr>
    </w:p>
    <w:p>
      <w:pPr>
        <w:ind w:right="1299"/>
        <w:spacing w:after="0" w:line="282"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Certificate of Amendment to the Third Restated Certificate of Incorporation of Registrant. Incorporated by</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reference to Exhibit 3.2 to the Company’s Form 8-K filed May 13, 2020.</w:t>
        </w:r>
      </w:hyperlink>
    </w:p>
    <w:p>
      <w:pPr>
        <w:spacing w:after="0" w:line="27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Amended and Restated By-Laws of BioCryst Pharmaceuticals, Inc., effective January 16, 2024.</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Incorporated by reference to Exhibit 3.1 to the Company’s Form 8-K filed January 18, 2024.</w:t>
        </w:r>
      </w:hyperlink>
    </w:p>
    <w:p>
      <w:pPr>
        <w:spacing w:after="0" w:line="315" w:lineRule="exact"/>
        <w:rPr>
          <w:sz w:val="20"/>
          <w:szCs w:val="20"/>
          <w:color w:val="auto"/>
        </w:rPr>
      </w:pPr>
    </w:p>
    <w:p>
      <w:pPr>
        <w:ind w:right="1859"/>
        <w:spacing w:after="0" w:line="282" w:lineRule="auto"/>
        <w:rPr>
          <w:sz w:val="20"/>
          <w:szCs w:val="20"/>
          <w:color w:val="auto"/>
        </w:rPr>
      </w:pPr>
      <w:r>
        <w:rPr>
          <w:rFonts w:ascii="Times New Roman" w:cs="Times New Roman" w:eastAsia="Times New Roman" w:hAnsi="Times New Roman"/>
          <w:sz w:val="18"/>
          <w:szCs w:val="18"/>
          <w:u w:val="single" w:color="auto"/>
          <w:color w:val="0000FF"/>
        </w:rPr>
        <w:t>BioCryst Pharmaceuticals, Inc. Equity Award Retirement Policy, effective July 1, 2024, as updated October 31, 2024.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Executive Officer Pursuant to Section 302 of the Sarbanes-Oxley Act of 2002.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Financial Officer Pursuant to Section 302 of the Sarbanes-Oxley Act of 2002.</w:t>
      </w:r>
    </w:p>
    <w:p>
      <w:pPr>
        <w:spacing w:after="0" w:line="306" w:lineRule="exact"/>
        <w:rPr>
          <w:sz w:val="20"/>
          <w:szCs w:val="20"/>
          <w:color w:val="auto"/>
        </w:rPr>
      </w:pPr>
    </w:p>
    <w:p>
      <w:pPr>
        <w:ind w:right="1659"/>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w:t>
      </w:r>
    </w:p>
    <w:p>
      <w:pPr>
        <w:spacing w:after="0" w:line="270" w:lineRule="exact"/>
        <w:rPr>
          <w:sz w:val="20"/>
          <w:szCs w:val="20"/>
          <w:color w:val="auto"/>
        </w:rPr>
      </w:pPr>
    </w:p>
    <w:p>
      <w:pPr>
        <w:ind w:right="1659"/>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660" w:space="500"/>
            <w:col w:w="8979"/>
          </w:cols>
          <w:pgMar w:left="320" w:top="121" w:right="1440" w:bottom="1440" w:gutter="0" w:footer="0" w:header="0"/>
          <w:type w:val="continuous"/>
        </w:sectPr>
      </w:pPr>
    </w:p>
    <w:p>
      <w:pPr>
        <w:spacing w:after="0" w:line="70" w:lineRule="exact"/>
        <w:rPr>
          <w:sz w:val="20"/>
          <w:szCs w:val="20"/>
          <w:color w:val="auto"/>
        </w:rPr>
      </w:pPr>
    </w:p>
    <w:p>
      <w:pPr>
        <w:ind w:left="1160" w:right="1259" w:hanging="1134"/>
        <w:spacing w:after="0" w:line="256" w:lineRule="auto"/>
        <w:tabs>
          <w:tab w:leader="none" w:pos="1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from the Quarterly Report on Form 10-Q of BioCryst Pharmaceuticals, Inc. for the three and nine months ended September 30, 2024, formatted in Inline XBRL: (i) Condensed Consolidated Balance Sheets, (ii) Condensed Consolidated Statements of Comprehensive Loss, (iii) Condensed Consolidated Statements of Cash Flows, (iv) Condensed Consolidated Statements of Stockholders’ Deficit, and (v) Notes to Condensed Consolidated Financial Statements, tagged as blocks of text and including detailed tags.</w:t>
      </w:r>
    </w:p>
    <w:p>
      <w:pPr>
        <w:spacing w:after="0" w:line="295" w:lineRule="exact"/>
        <w:rPr>
          <w:sz w:val="20"/>
          <w:szCs w:val="20"/>
          <w:color w:val="auto"/>
        </w:rPr>
      </w:pPr>
    </w:p>
    <w:p>
      <w:pPr>
        <w:ind w:left="1160" w:hanging="1134"/>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ectPr>
          <w:pgSz w:w="11900" w:h="16838" w:orient="portrait"/>
          <w:cols w:equalWidth="0" w:num="1">
            <w:col w:w="10139"/>
          </w:cols>
          <w:pgMar w:left="320" w:top="121" w:right="1440" w:bottom="1440" w:gutter="0" w:footer="0" w:header="0"/>
          <w:type w:val="continuous"/>
        </w:sectPr>
      </w:pPr>
    </w:p>
    <w:p>
      <w:pPr>
        <w:spacing w:after="0" w:line="320" w:lineRule="exact"/>
        <w:rPr>
          <w:sz w:val="20"/>
          <w:szCs w:val="20"/>
          <w:color w:val="auto"/>
        </w:rPr>
      </w:pPr>
    </w:p>
    <w:p>
      <w:pPr>
        <w:ind w:left="140" w:hanging="114"/>
        <w:spacing w:after="0"/>
        <w:tabs>
          <w:tab w:leader="none" w:pos="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w:t>
      </w:r>
    </w:p>
    <w:p>
      <w:pPr>
        <w:spacing w:after="0" w:line="63" w:lineRule="exact"/>
        <w:rPr>
          <w:sz w:val="20"/>
          <w:szCs w:val="20"/>
          <w:color w:val="auto"/>
        </w:rPr>
      </w:pPr>
    </w:p>
    <w:p>
      <w:pPr>
        <w:jc w:val="both"/>
        <w:ind w:right="1419"/>
        <w:spacing w:after="0" w:line="266" w:lineRule="auto"/>
        <w:rPr>
          <w:sz w:val="20"/>
          <w:szCs w:val="20"/>
          <w:color w:val="auto"/>
        </w:rPr>
      </w:pPr>
      <w:r>
        <w:rPr>
          <w:rFonts w:ascii="Times New Roman" w:cs="Times New Roman" w:eastAsia="Times New Roman" w:hAnsi="Times New Roman"/>
          <w:sz w:val="18"/>
          <w:szCs w:val="18"/>
          <w:color w:val="auto"/>
        </w:rPr>
        <w:t>The certification is being furnished solely to accompany this Quarterly Report on Form 10-Q pursuant to 18 U.S.C. Section 1350, and will not be deemed “filed” for purposes of Section 18 of the Exchange Act, except to the extent that the Company specifically incorporates it by reference.</w:t>
      </w:r>
    </w:p>
    <w:p>
      <w:pPr>
        <w:spacing w:after="0" w:line="200" w:lineRule="exact"/>
        <w:rPr>
          <w:sz w:val="20"/>
          <w:szCs w:val="20"/>
          <w:color w:val="auto"/>
        </w:rPr>
      </w:pPr>
    </w:p>
    <w:p>
      <w:pPr>
        <w:sectPr>
          <w:pgSz w:w="11900" w:h="16838" w:orient="portrait"/>
          <w:cols w:equalWidth="0" w:num="2">
            <w:col w:w="440" w:space="720"/>
            <w:col w:w="897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this 5th day of November, 2024.</w:t>
      </w:r>
    </w:p>
    <w:p>
      <w:pPr>
        <w:spacing w:after="0" w:line="1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320" w:lineRule="exact"/>
        <w:rPr>
          <w:sz w:val="20"/>
          <w:szCs w:val="20"/>
          <w:color w:val="auto"/>
        </w:rPr>
      </w:pPr>
    </w:p>
    <w:p>
      <w:pPr>
        <w:ind w:left="3940"/>
        <w:spacing w:after="0"/>
        <w:tabs>
          <w:tab w:leader="none" w:pos="5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36861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Jon P. Stonehouse</w:t>
      </w:r>
    </w:p>
    <w:p>
      <w:pPr>
        <w:spacing w:after="0" w:line="4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2" w:lineRule="exact"/>
        <w:rPr>
          <w:sz w:val="20"/>
          <w:szCs w:val="20"/>
          <w:color w:val="auto"/>
        </w:rPr>
      </w:pPr>
    </w:p>
    <w:p>
      <w:pPr>
        <w:ind w:left="3940"/>
        <w:spacing w:after="0"/>
        <w:tabs>
          <w:tab w:leader="none" w:pos="5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36861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Anthony Doyle</w:t>
      </w:r>
    </w:p>
    <w:p>
      <w:pPr>
        <w:spacing w:after="0" w:line="4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i w:val="1"/>
          <w:iCs w:val="1"/>
          <w:color w:val="auto"/>
        </w:rPr>
        <w:t>(Principal Financial Officer and Interim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580"/>
          </w:cols>
          <w:pgMar w:left="320" w:top="121" w:right="999" w:bottom="1440" w:gutter="0" w:footer="0" w:header="0"/>
        </w:sectPr>
      </w:pPr>
    </w:p>
    <w:bookmarkStart w:id="83" w:name="page84"/>
    <w:bookmarkEnd w:id="8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EQUITY AWARD RETIREMENT POLICY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Date: July 1, 2024</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of the Board of Directors of BioCryst Pharmaceuticals,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determined that it is appropriate to adopt this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to provide Covered Employees with continued vesting eligibility upon a termination of employment with the Company by reason of a Qualified Retirement with respect to equity awards granted under the (i) BioCryst Pharmaceuticals, Inc. Stock Incentive Plan (as amended and restated from time to time, including any successor plan, the “</w:t>
      </w:r>
      <w:r>
        <w:rPr>
          <w:rFonts w:ascii="Times New Roman" w:cs="Times New Roman" w:eastAsia="Times New Roman" w:hAnsi="Times New Roman"/>
          <w:sz w:val="18"/>
          <w:szCs w:val="18"/>
          <w:u w:val="single" w:color="auto"/>
          <w:color w:val="auto"/>
        </w:rPr>
        <w:t>Stock Incentive Plan</w:t>
      </w:r>
      <w:r>
        <w:rPr>
          <w:rFonts w:ascii="Times New Roman" w:cs="Times New Roman" w:eastAsia="Times New Roman" w:hAnsi="Times New Roman"/>
          <w:sz w:val="18"/>
          <w:szCs w:val="18"/>
          <w:color w:val="auto"/>
        </w:rPr>
        <w:t>”) and (ii) BioCryst Pharmaceuticals, Inc. Inducement Equity Incentive Plan (as amended and restated from time to time, including any successor plan, the “</w:t>
      </w:r>
      <w:r>
        <w:rPr>
          <w:rFonts w:ascii="Times New Roman" w:cs="Times New Roman" w:eastAsia="Times New Roman" w:hAnsi="Times New Roman"/>
          <w:sz w:val="18"/>
          <w:szCs w:val="18"/>
          <w:u w:val="single" w:color="auto"/>
          <w:color w:val="auto"/>
        </w:rPr>
        <w:t>Inducement Plan</w:t>
      </w:r>
      <w:r>
        <w:rPr>
          <w:rFonts w:ascii="Times New Roman" w:cs="Times New Roman" w:eastAsia="Times New Roman" w:hAnsi="Times New Roman"/>
          <w:sz w:val="18"/>
          <w:szCs w:val="18"/>
          <w:color w:val="auto"/>
        </w:rPr>
        <w:t>” and together with the Stock Incentive Plan, the “</w:t>
      </w:r>
      <w:r>
        <w:rPr>
          <w:rFonts w:ascii="Times New Roman" w:cs="Times New Roman" w:eastAsia="Times New Roman" w:hAnsi="Times New Roman"/>
          <w:sz w:val="18"/>
          <w:szCs w:val="18"/>
          <w:u w:val="single" w:color="auto"/>
          <w:color w:val="auto"/>
        </w:rPr>
        <w:t>Equity Plans</w:t>
      </w:r>
      <w:r>
        <w:rPr>
          <w:rFonts w:ascii="Times New Roman" w:cs="Times New Roman" w:eastAsia="Times New Roman" w:hAnsi="Times New Roman"/>
          <w:sz w:val="18"/>
          <w:szCs w:val="18"/>
          <w:color w:val="auto"/>
        </w:rPr>
        <w:t>”), as set forth below. This Policy shall be effective as of the date first set forth above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8"/>
        <w:spacing w:after="0" w:line="257"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Qualified Retirement</w:t>
      </w:r>
      <w:r>
        <w:rPr>
          <w:rFonts w:ascii="Times New Roman" w:cs="Times New Roman" w:eastAsia="Times New Roman" w:hAnsi="Times New Roman"/>
          <w:sz w:val="18"/>
          <w:szCs w:val="18"/>
          <w:color w:val="auto"/>
        </w:rPr>
        <w:t>. For purposes of this Policy, “</w:t>
      </w:r>
      <w:r>
        <w:rPr>
          <w:rFonts w:ascii="Times New Roman" w:cs="Times New Roman" w:eastAsia="Times New Roman" w:hAnsi="Times New Roman"/>
          <w:sz w:val="18"/>
          <w:szCs w:val="18"/>
          <w:u w:val="single" w:color="auto"/>
          <w:color w:val="auto"/>
        </w:rPr>
        <w:t>Qualified Retirement</w:t>
      </w:r>
      <w:r>
        <w:rPr>
          <w:rFonts w:ascii="Times New Roman" w:cs="Times New Roman" w:eastAsia="Times New Roman" w:hAnsi="Times New Roman"/>
          <w:sz w:val="18"/>
          <w:szCs w:val="18"/>
          <w:color w:val="auto"/>
        </w:rPr>
        <w:t>” shall mean a Covered Employee’s resignation of employment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on or after attainment of age sixty (60) with at least seven (7) years of continuous service with the Company (the “</w:t>
      </w:r>
      <w:r>
        <w:rPr>
          <w:rFonts w:ascii="Times New Roman" w:cs="Times New Roman" w:eastAsia="Times New Roman" w:hAnsi="Times New Roman"/>
          <w:sz w:val="18"/>
          <w:szCs w:val="18"/>
          <w:u w:val="single" w:color="auto"/>
          <w:color w:val="auto"/>
        </w:rPr>
        <w:t>Service and 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Requirements</w:t>
      </w:r>
      <w:r>
        <w:rPr>
          <w:rFonts w:ascii="Times New Roman" w:cs="Times New Roman" w:eastAsia="Times New Roman" w:hAnsi="Times New Roman"/>
          <w:sz w:val="18"/>
          <w:szCs w:val="18"/>
          <w:color w:val="auto"/>
        </w:rPr>
        <w:t>”), provided that (i) such Covered Employee provides the Company with Advance Notice of the date of his or her resignation of employment (the “</w:t>
      </w:r>
      <w:r>
        <w:rPr>
          <w:rFonts w:ascii="Times New Roman" w:cs="Times New Roman" w:eastAsia="Times New Roman" w:hAnsi="Times New Roman"/>
          <w:sz w:val="18"/>
          <w:szCs w:val="18"/>
          <w:u w:val="single" w:color="auto"/>
          <w:color w:val="auto"/>
        </w:rPr>
        <w:t>Retirement Notice</w:t>
      </w:r>
      <w:r>
        <w:rPr>
          <w:rFonts w:ascii="Times New Roman" w:cs="Times New Roman" w:eastAsia="Times New Roman" w:hAnsi="Times New Roman"/>
          <w:sz w:val="18"/>
          <w:szCs w:val="18"/>
          <w:color w:val="auto"/>
        </w:rPr>
        <w:t>”), and (ii) no event or circumstance shall exist that could give rise to the Covered Employee’s termination of employment by the Company for Cause (as defined in the applicable Equity Plan). In addition, a Covered Employee’s termination of employment by the Company not for Cause after such Covered Employee provides the Company with the Retirement Notice shall constitute a Qualified Retirement.</w:t>
      </w:r>
    </w:p>
    <w:p>
      <w:pPr>
        <w:spacing w:after="0" w:line="182" w:lineRule="exact"/>
        <w:rPr>
          <w:rFonts w:ascii="Times New Roman" w:cs="Times New Roman" w:eastAsia="Times New Roman" w:hAnsi="Times New Roman"/>
          <w:sz w:val="18"/>
          <w:szCs w:val="18"/>
          <w:color w:val="auto"/>
        </w:rPr>
      </w:pPr>
    </w:p>
    <w:p>
      <w:pPr>
        <w:jc w:val="both"/>
        <w:ind w:firstLine="8"/>
        <w:spacing w:after="0" w:line="255"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Requirement</w:t>
      </w:r>
      <w:r>
        <w:rPr>
          <w:rFonts w:ascii="Times New Roman" w:cs="Times New Roman" w:eastAsia="Times New Roman" w:hAnsi="Times New Roman"/>
          <w:sz w:val="18"/>
          <w:szCs w:val="18"/>
          <w:color w:val="auto"/>
        </w:rPr>
        <w:t>. The Retirement Notice required to be given under this Policy shall be given in writing, shall include “Retirement Notice”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subject line, and shall be provided to the Covered Employee’s reporting person and to </w:t>
      </w:r>
      <w:r>
        <w:rPr>
          <w:rFonts w:ascii="Times New Roman" w:cs="Times New Roman" w:eastAsia="Times New Roman" w:hAnsi="Times New Roman"/>
          <w:sz w:val="18"/>
          <w:szCs w:val="18"/>
          <w:u w:val="single" w:color="auto"/>
          <w:color w:val="auto"/>
        </w:rPr>
        <w:t>HRSupport@biocryst.com</w:t>
      </w:r>
      <w:r>
        <w:rPr>
          <w:rFonts w:ascii="Times New Roman" w:cs="Times New Roman" w:eastAsia="Times New Roman" w:hAnsi="Times New Roman"/>
          <w:sz w:val="18"/>
          <w:szCs w:val="18"/>
          <w:color w:val="auto"/>
        </w:rPr>
        <w:t xml:space="preserve"> (if by electronic mail) or BioCryst Pharmaceuticals, Inc., Attention: Chief People Officer, 4505 Emperor Blvd., Suite 200, Durham, North Carolina 27703 (if by regular mail). In no event shall a Covered Employee be permitted to deliver the Retirement Notice in December of any year and any Retirement Notice delivered in December shall not be respected for purposes of this Policy. For purposes of this Policy, “</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shall mean, with respect to the period of time prior to the date of a Covered Employee’s resignation of employment, (i) for members of the Leadership Team, at least twelve (12) months prior to the date of resignation, (ii) for Senior Vice Presidents and Vice Presidents, at least nine (9) months prior to the date of resignation, (iii) for Executive Directors and Directors, at least six (6) months prior to the date of resignation and (iv) for all other employees, at least three (3) months prior to the date of resignation.</w:t>
      </w:r>
    </w:p>
    <w:p>
      <w:pPr>
        <w:spacing w:after="0" w:line="184" w:lineRule="exact"/>
        <w:rPr>
          <w:rFonts w:ascii="Times New Roman" w:cs="Times New Roman" w:eastAsia="Times New Roman" w:hAnsi="Times New Roman"/>
          <w:sz w:val="18"/>
          <w:szCs w:val="18"/>
          <w:color w:val="auto"/>
        </w:rPr>
      </w:pPr>
    </w:p>
    <w:p>
      <w:pPr>
        <w:ind w:firstLine="8"/>
        <w:spacing w:after="0" w:line="286"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Covered Employee</w:t>
      </w:r>
      <w:r>
        <w:rPr>
          <w:rFonts w:ascii="Times New Roman" w:cs="Times New Roman" w:eastAsia="Times New Roman" w:hAnsi="Times New Roman"/>
          <w:sz w:val="18"/>
          <w:szCs w:val="18"/>
          <w:color w:val="auto"/>
        </w:rPr>
        <w:t>. Subject to Section 4 hereof, this Policy shall apply to current U.S. employees of the Company who receive notice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that they are a Covered Employee (each, a “</w:t>
      </w:r>
      <w:r>
        <w:rPr>
          <w:rFonts w:ascii="Times New Roman" w:cs="Times New Roman" w:eastAsia="Times New Roman" w:hAnsi="Times New Roman"/>
          <w:sz w:val="18"/>
          <w:szCs w:val="18"/>
          <w:u w:val="single" w:color="auto"/>
          <w:color w:val="auto"/>
        </w:rPr>
        <w:t>Covered Employee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firstLine="8"/>
        <w:spacing w:after="0" w:line="259"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 to Incentive Stock Options</w:t>
      </w:r>
      <w:r>
        <w:rPr>
          <w:rFonts w:ascii="Times New Roman" w:cs="Times New Roman" w:eastAsia="Times New Roman" w:hAnsi="Times New Roman"/>
          <w:sz w:val="18"/>
          <w:szCs w:val="18"/>
          <w:color w:val="auto"/>
        </w:rPr>
        <w:t>. To the extent any Covered Employee holds incentive stock options (as defined in Section 422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Revenue Code of 1986, as amended, “</w:t>
      </w:r>
      <w:r>
        <w:rPr>
          <w:rFonts w:ascii="Times New Roman" w:cs="Times New Roman" w:eastAsia="Times New Roman" w:hAnsi="Times New Roman"/>
          <w:sz w:val="18"/>
          <w:szCs w:val="18"/>
          <w:u w:val="single" w:color="auto"/>
          <w:color w:val="auto"/>
        </w:rPr>
        <w:t>ISOs</w:t>
      </w:r>
      <w:r>
        <w:rPr>
          <w:rFonts w:ascii="Times New Roman" w:cs="Times New Roman" w:eastAsia="Times New Roman" w:hAnsi="Times New Roman"/>
          <w:sz w:val="18"/>
          <w:szCs w:val="18"/>
          <w:color w:val="auto"/>
        </w:rPr>
        <w:t>”) under either Equity Plan as of the Effective Date, such ISOs shall not be subject to this Retirement Policy, and therefore shall not be eligible for Qualified Retirement Vesting, unless the Covered Employee elects, pursuant to an election form delivered to the Covered Employee, to convert such incentive stock options to non-statutory stock options within 29 days of the date such Covered Employee receives notice from the Company that they are a Covered Employee.</w:t>
      </w:r>
    </w:p>
    <w:p>
      <w:pPr>
        <w:spacing w:after="0" w:line="179" w:lineRule="exact"/>
        <w:rPr>
          <w:rFonts w:ascii="Times New Roman" w:cs="Times New Roman" w:eastAsia="Times New Roman" w:hAnsi="Times New Roman"/>
          <w:sz w:val="18"/>
          <w:szCs w:val="18"/>
          <w:color w:val="auto"/>
        </w:rPr>
      </w:pPr>
    </w:p>
    <w:p>
      <w:pPr>
        <w:jc w:val="both"/>
        <w:ind w:firstLine="8"/>
        <w:spacing w:after="0" w:line="257"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of Equity Awards Upon a Qualified Retirement</w:t>
      </w:r>
      <w:r>
        <w:rPr>
          <w:rFonts w:ascii="Times New Roman" w:cs="Times New Roman" w:eastAsia="Times New Roman" w:hAnsi="Times New Roman"/>
          <w:sz w:val="18"/>
          <w:szCs w:val="18"/>
          <w:color w:val="auto"/>
        </w:rPr>
        <w:t>. In the event a Covered Employee terminates his or her employment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by reason of a Qualified Retirement, in accordance with Section 1 of this Policy, (i) any unvested restricted stock unit award granted more than one year prior to the Covered Employee’s termination date and held by such Covered Employee at the time of such Covered Employee’s termination of employment (a “</w:t>
      </w:r>
      <w:r>
        <w:rPr>
          <w:rFonts w:ascii="Times New Roman" w:cs="Times New Roman" w:eastAsia="Times New Roman" w:hAnsi="Times New Roman"/>
          <w:sz w:val="18"/>
          <w:szCs w:val="18"/>
          <w:u w:val="single" w:color="auto"/>
          <w:color w:val="auto"/>
        </w:rPr>
        <w:t>Covered RSU Award</w:t>
      </w:r>
      <w:r>
        <w:rPr>
          <w:rFonts w:ascii="Times New Roman" w:cs="Times New Roman" w:eastAsia="Times New Roman" w:hAnsi="Times New Roman"/>
          <w:sz w:val="18"/>
          <w:szCs w:val="18"/>
          <w:color w:val="auto"/>
        </w:rPr>
        <w:t>”) shall become vested and settled in accordance with the original vesting schedule applicable to such Covered RSU Award and (ii) any unvested stock option award (excluding ISOs granted as of the Effective Date for which a conversion election is not made pursuant to Section 4 of this Policy) granted more than one year prior to the Covered Employee’s termination date and held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As Updated, October 31, 2024</w:t>
      </w:r>
    </w:p>
    <w:p>
      <w:pPr>
        <w:sectPr>
          <w:pgSz w:w="11900" w:h="16838" w:orient="portrait"/>
          <w:cols w:equalWidth="0" w:num="1">
            <w:col w:w="11240"/>
          </w:cols>
          <w:pgMar w:left="320" w:top="104" w:right="339" w:bottom="1440" w:gutter="0" w:footer="0" w:header="0"/>
        </w:sectPr>
      </w:pPr>
    </w:p>
    <w:bookmarkStart w:id="84" w:name="page85"/>
    <w:bookmarkEnd w:id="84"/>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Covered Employee at the time of such Covered Employee’s termination of employment (a “</w:t>
      </w:r>
      <w:r>
        <w:rPr>
          <w:rFonts w:ascii="Times New Roman" w:cs="Times New Roman" w:eastAsia="Times New Roman" w:hAnsi="Times New Roman"/>
          <w:sz w:val="18"/>
          <w:szCs w:val="18"/>
          <w:u w:val="single" w:color="auto"/>
          <w:color w:val="auto"/>
        </w:rPr>
        <w:t>Covered Stock Option Award</w:t>
      </w:r>
      <w:r>
        <w:rPr>
          <w:rFonts w:ascii="Times New Roman" w:cs="Times New Roman" w:eastAsia="Times New Roman" w:hAnsi="Times New Roman"/>
          <w:sz w:val="18"/>
          <w:szCs w:val="18"/>
          <w:color w:val="auto"/>
        </w:rPr>
        <w:t>”) shall become vested and exercisable in accordance with the original vesting schedule applicable to such Covered Stock Option Award and remain exercisable for the entirety of their original term set out in the applicable award agreement (such continued vesting, “</w:t>
      </w:r>
      <w:r>
        <w:rPr>
          <w:rFonts w:ascii="Times New Roman" w:cs="Times New Roman" w:eastAsia="Times New Roman" w:hAnsi="Times New Roman"/>
          <w:sz w:val="18"/>
          <w:szCs w:val="18"/>
          <w:u w:val="single" w:color="auto"/>
          <w:color w:val="auto"/>
        </w:rPr>
        <w:t>Qualified Retirement Vesting</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8"/>
        <w:spacing w:after="0" w:line="268"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This Policy shall be administered by the Committee. All decisions, determinations and interpretations by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this Policy shall be final and binding on all grantees, beneficiaries, heirs, assigns or other persons holding or claiming rights under any Equity Plan or any award thereunder.</w:t>
      </w:r>
    </w:p>
    <w:p>
      <w:pPr>
        <w:spacing w:after="0" w:line="170" w:lineRule="exact"/>
        <w:rPr>
          <w:rFonts w:ascii="Times New Roman" w:cs="Times New Roman" w:eastAsia="Times New Roman" w:hAnsi="Times New Roman"/>
          <w:sz w:val="18"/>
          <w:szCs w:val="18"/>
          <w:color w:val="auto"/>
        </w:rPr>
      </w:pPr>
    </w:p>
    <w:p>
      <w:pPr>
        <w:jc w:val="both"/>
        <w:ind w:firstLine="8"/>
        <w:spacing w:after="0" w:line="255"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This Policy, and its implementation, is intended to meet the requirements for compliance with, or exemption from, Section 409A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Revenue Code of 1986, as amended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and shall be interpreted and construed consistent with that intent. To the extent required in order to avoid accelerated taxation and/or accelerated payment under Section 409A, references to termination of employment, separation from service and similar or correlative terms in this Policy shall mean a “separation from service” (as defined at Section 1.409A-1(h) of the Treasury Regulations) from the Company. Each installment of the payments and benefits provided for as a result of this Policy shall be treated as a separate “payment” for purposes of Treasury Regulation Section 1.409A-2(b)(2)(i). The Company makes no representation that any or all of the payments described in this Policy shall be exempt from or comply with Section 409A. Covered Employees shall be solely responsible for the payment of any taxes and penalties incurred under Section 409A.</w:t>
      </w:r>
    </w:p>
    <w:p>
      <w:pPr>
        <w:spacing w:after="0" w:line="184" w:lineRule="exact"/>
        <w:rPr>
          <w:rFonts w:ascii="Times New Roman" w:cs="Times New Roman" w:eastAsia="Times New Roman" w:hAnsi="Times New Roman"/>
          <w:sz w:val="18"/>
          <w:szCs w:val="18"/>
          <w:color w:val="auto"/>
        </w:rPr>
      </w:pPr>
    </w:p>
    <w:p>
      <w:pPr>
        <w:ind w:firstLine="8"/>
        <w:spacing w:after="0" w:line="286"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and Termination</w:t>
      </w:r>
      <w:r>
        <w:rPr>
          <w:rFonts w:ascii="Times New Roman" w:cs="Times New Roman" w:eastAsia="Times New Roman" w:hAnsi="Times New Roman"/>
          <w:sz w:val="18"/>
          <w:szCs w:val="18"/>
          <w:color w:val="auto"/>
        </w:rPr>
        <w:t>. The Committee shall have complete and exclusive power and authority to, at any time and for any reason, amend,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modify or terminate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P. Stonehouse, certify that:</w:t>
      </w:r>
    </w:p>
    <w:p>
      <w:pPr>
        <w:spacing w:after="0" w:line="198"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BioCryst Pharmaceuticals, Inc.;</w:t>
      </w:r>
    </w:p>
    <w:p>
      <w:pPr>
        <w:spacing w:after="0" w:line="184"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20" w:right="20" w:hanging="316"/>
        <w:spacing w:after="0" w:line="266" w:lineRule="auto"/>
        <w:tabs>
          <w:tab w:leader="none" w:pos="16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20" w:right="120" w:hanging="316"/>
        <w:spacing w:after="0" w:line="266" w:lineRule="auto"/>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20" w:hanging="316"/>
        <w:spacing w:after="0" w:line="266" w:lineRule="auto"/>
        <w:tabs>
          <w:tab w:leader="none" w:pos="16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620" w:right="320" w:hanging="316"/>
        <w:spacing w:after="0" w:line="266" w:lineRule="auto"/>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980" w:right="46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20" w:right="180" w:hanging="316"/>
        <w:spacing w:after="0" w:line="282" w:lineRule="auto"/>
        <w:tabs>
          <w:tab w:leader="none" w:pos="16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620" w:right="460" w:hanging="316"/>
        <w:spacing w:after="0" w:line="282" w:lineRule="auto"/>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P. Stonehouse</w:t>
            </w:r>
          </w:p>
        </w:tc>
      </w:tr>
      <w:tr>
        <w:trPr>
          <w:trHeight w:val="218"/>
        </w:trPr>
        <w:tc>
          <w:tcPr>
            <w:tcW w:w="598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 P. Stonehouse</w:t>
            </w:r>
          </w:p>
        </w:tc>
      </w:tr>
      <w:tr>
        <w:trPr>
          <w:trHeight w:val="234"/>
        </w:trPr>
        <w:tc>
          <w:tcPr>
            <w:tcW w:w="59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94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Doyle, certify that:</w:t>
      </w:r>
    </w:p>
    <w:p>
      <w:pPr>
        <w:spacing w:after="0" w:line="198"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BioCryst Pharmaceuticals, Inc.;</w:t>
      </w:r>
    </w:p>
    <w:p>
      <w:pPr>
        <w:spacing w:after="0" w:line="184"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20" w:right="20" w:hanging="316"/>
        <w:spacing w:after="0" w:line="266" w:lineRule="auto"/>
        <w:tabs>
          <w:tab w:leader="none" w:pos="16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20" w:right="120" w:hanging="316"/>
        <w:spacing w:after="0" w:line="266" w:lineRule="auto"/>
        <w:tabs>
          <w:tab w:leader="none" w:pos="1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20" w:hanging="316"/>
        <w:spacing w:after="0" w:line="266" w:lineRule="auto"/>
        <w:tabs>
          <w:tab w:leader="none" w:pos="16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620" w:right="320" w:hanging="316"/>
        <w:spacing w:after="0" w:line="266" w:lineRule="auto"/>
        <w:tabs>
          <w:tab w:leader="none" w:pos="1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980" w:right="460" w:hanging="324"/>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20" w:right="180" w:hanging="316"/>
        <w:spacing w:after="0" w:line="282" w:lineRule="auto"/>
        <w:tabs>
          <w:tab w:leader="none" w:pos="16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620" w:right="460" w:hanging="316"/>
        <w:spacing w:after="0" w:line="282" w:lineRule="auto"/>
        <w:tabs>
          <w:tab w:leader="none" w:pos="1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Doyle</w:t>
            </w:r>
          </w:p>
        </w:tc>
      </w:tr>
      <w:tr>
        <w:trPr>
          <w:trHeight w:val="218"/>
        </w:trPr>
        <w:tc>
          <w:tcPr>
            <w:tcW w:w="598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Doyle</w:t>
            </w:r>
          </w:p>
        </w:tc>
      </w:tr>
      <w:tr>
        <w:trPr>
          <w:trHeight w:val="234"/>
        </w:trPr>
        <w:tc>
          <w:tcPr>
            <w:tcW w:w="59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94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BioCryst Pharmaceuticals, Inc. (the “Company”) on Form 10-Q for the period ended September 30, 2024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spacing w:after="0" w:line="135"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72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Jon P. Stonehouse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2024</w:t>
      </w:r>
    </w:p>
    <w:p>
      <w:pPr>
        <w:sectPr>
          <w:pgSz w:w="11900" w:h="16838" w:orient="portrait"/>
          <w:cols w:equalWidth="0" w:num="1">
            <w:col w:w="11240"/>
          </w:cols>
          <w:pgMar w:left="320" w:top="94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BioCryst Pharmaceuticals, Inc. (the “Company”) on Form 10-Q for the period ended September 30, 2024 as filed with the Securities and Exchange Commission on the date hereof (the “Report”), I, Anthony Doyle, Chief Financial Officer of the Company, certify, pursuant to 18 U.S.C. § 1350, as adopted pursuant to § 906 of the Sarbanes-Oxley Act of 2002, that, to the best of my knowledge:</w:t>
      </w:r>
    </w:p>
    <w:p>
      <w:pPr>
        <w:spacing w:after="0" w:line="135"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72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Anthony Doyle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2024</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01"/>
    </w:lvl>
  </w:abstractNum>
  <w:abstractNum w:abstractNumId="28">
    <w:nsid w:val="22221A70"/>
    <w:multiLevelType w:val="hybridMultilevel"/>
    <w:lvl w:ilvl="0">
      <w:lvlJc w:val="left"/>
      <w:lvlText w:val="(%1)"/>
      <w:numFmt w:val="decimal"/>
      <w:start w:val="104"/>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6"/>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97" Type="http://schemas.openxmlformats.org/officeDocument/2006/relationships/hyperlink" Target="https://www.sec.gov/Archives/edgar/data/882796/000103570406000836/d42297exv3w1.htm" TargetMode="External"/><Relationship Id="rId98" Type="http://schemas.openxmlformats.org/officeDocument/2006/relationships/hyperlink" Target="https://www.sec.gov/Archives/edgar/data/882796/000136231007001386/c70813exv3w1.htm" TargetMode="External"/><Relationship Id="rId99" Type="http://schemas.openxmlformats.org/officeDocument/2006/relationships/hyperlink" Target="https://www.sec.gov/Archives/edgar/data/882796/000119312514186707/d722313dex31.htm" TargetMode="External"/><Relationship Id="rId100" Type="http://schemas.openxmlformats.org/officeDocument/2006/relationships/hyperlink" Target="https://www.sec.gov/Archives/edgar/data/882796/000117184320003680/exh_31.htm" TargetMode="External"/><Relationship Id="rId101" Type="http://schemas.openxmlformats.org/officeDocument/2006/relationships/hyperlink" Target="http://www.sec.gov/Archives/edgar/data/882796/000117184320003680/exh_32.htm" TargetMode="External"/><Relationship Id="rId102" Type="http://schemas.openxmlformats.org/officeDocument/2006/relationships/hyperlink" Target="https://www.sec.gov/Archives/edgar/data/882796/000117184320003680/exh_32.htm" TargetMode="External"/><Relationship Id="rId103" Type="http://schemas.openxmlformats.org/officeDocument/2006/relationships/hyperlink" Target="https://www.sec.gov/Archives/edgar/data/882796/000117184324000297/exh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2024-11-05T16:29:59Z</dcterms:created>
  <dcterms:modified xsi:type="dcterms:W3CDTF">2024-11-05T16:29:59Z</dcterms:modified>
</cp:coreProperties>
</file>