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200" w:after="283"/>
        <w:jc w:val="both"/>
        <w:rPr/>
      </w:pP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QUARTERLY REPORT PURSUANT TO SECTION 13 OR 15(d) OF THE SECURITIES EXCHANGE ACT OF 1934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quarterly period ended March 31, 2026</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lineRule="auto" w:line="288" w:before="200" w:after="283"/>
        <w:jc w:val="both"/>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TRANSITION REPORT PURSUANT TO SECTION 13 OR 15(d) OF THE SECURITIES EXCHANGE ACT OF 1934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transition period from ______________________ to ______________________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000-23186</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BIOCRYST PHARMACEUTICALS,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949" w:type="dxa"/>
        <w:jc w:val="left"/>
        <w:tblInd w:w="0" w:type="dxa"/>
        <w:tblLayout w:type="fixed"/>
        <w:tblCellMar>
          <w:top w:w="28" w:type="dxa"/>
          <w:left w:w="28" w:type="dxa"/>
          <w:bottom w:w="28" w:type="dxa"/>
          <w:right w:w="28" w:type="dxa"/>
        </w:tblCellMar>
      </w:tblPr>
      <w:tblGrid>
        <w:gridCol w:w="1192"/>
        <w:gridCol w:w="1046"/>
        <w:gridCol w:w="1062"/>
        <w:gridCol w:w="481"/>
        <w:gridCol w:w="481"/>
        <w:gridCol w:w="687"/>
      </w:tblGrid>
      <w:tr>
        <w:trPr/>
        <w:tc>
          <w:tcPr>
            <w:tcW w:w="119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62-1413174</w:t>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4505 Emperor Blvd., Suite 200</w:t>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Durham, North Carolina</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27703</w:t>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+1-919-859-1302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53" w:type="dxa"/>
        <w:jc w:val="left"/>
        <w:tblInd w:w="0" w:type="dxa"/>
        <w:tblLayout w:type="fixed"/>
        <w:tblCellMar>
          <w:top w:w="28" w:type="dxa"/>
          <w:left w:w="28" w:type="dxa"/>
          <w:bottom w:w="28" w:type="dxa"/>
          <w:right w:w="28" w:type="dxa"/>
        </w:tblCellMar>
      </w:tblPr>
      <w:tblGrid>
        <w:gridCol w:w="988"/>
        <w:gridCol w:w="865"/>
        <w:gridCol w:w="876"/>
        <w:gridCol w:w="539"/>
        <w:gridCol w:w="539"/>
        <w:gridCol w:w="541"/>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BCRX</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200" w:after="283"/>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April 30, 2026, the registrant had 254,162,660 shares of common stock outstanding.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BIOCRYST PHARMACEUTICALS, INC.</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left"/>
        <w:tblInd w:w="0" w:type="dxa"/>
        <w:tblLayout w:type="fixed"/>
        <w:tblCellMar>
          <w:top w:w="28" w:type="dxa"/>
          <w:left w:w="28" w:type="dxa"/>
          <w:bottom w:w="28" w:type="dxa"/>
          <w:right w:w="28" w:type="dxa"/>
        </w:tblCellMar>
      </w:tblPr>
      <w:tblGrid>
        <w:gridCol w:w="3383"/>
        <w:gridCol w:w="2973"/>
        <w:gridCol w:w="2984"/>
        <w:gridCol w:w="252"/>
        <w:gridCol w:w="252"/>
        <w:gridCol w:w="361"/>
      </w:tblGrid>
      <w:tr>
        <w:trPr/>
        <w:tc>
          <w:tcPr>
            <w:tcW w:w="3383" w:type="dxa"/>
            <w:tcBorders/>
            <w:vAlign w:val="center"/>
          </w:tcPr>
          <w:p>
            <w:pPr>
              <w:pStyle w:val="TableContents"/>
              <w:bidi w:val="0"/>
              <w:spacing w:before="0" w:after="283"/>
              <w:jc w:val="left"/>
              <w:rPr>
                <w:sz w:val="4"/>
                <w:szCs w:val="4"/>
              </w:rPr>
            </w:pPr>
            <w:r>
              <w:rPr>
                <w:sz w:val="4"/>
                <w:szCs w:val="4"/>
              </w:rPr>
            </w:r>
          </w:p>
        </w:tc>
        <w:tc>
          <w:tcPr>
            <w:tcW w:w="2973" w:type="dxa"/>
            <w:tcBorders/>
            <w:vAlign w:val="center"/>
          </w:tcPr>
          <w:p>
            <w:pPr>
              <w:pStyle w:val="TableContents"/>
              <w:bidi w:val="0"/>
              <w:spacing w:before="0" w:after="283"/>
              <w:jc w:val="left"/>
              <w:rPr>
                <w:sz w:val="4"/>
                <w:szCs w:val="4"/>
              </w:rPr>
            </w:pPr>
            <w:r>
              <w:rPr>
                <w:sz w:val="4"/>
                <w:szCs w:val="4"/>
              </w:rPr>
            </w:r>
          </w:p>
        </w:tc>
        <w:tc>
          <w:tcPr>
            <w:tcW w:w="298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Page No.</w:t>
            </w:r>
          </w:p>
        </w:tc>
      </w:tr>
      <w:tr>
        <w:trPr/>
        <w:tc>
          <w:tcPr>
            <w:tcW w:w="9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e3bfededf5c448c893e5f7ab57807eb_10">
              <w:r>
                <w:rPr>
                  <w:rStyle w:val="InternetLink"/>
                  <w:rFonts w:ascii="Times New Roman;serif" w:hAnsi="Times New Roman;serif"/>
                  <w:b w:val="false"/>
                  <w:color w:val="0000FF"/>
                  <w:sz w:val="20"/>
                  <w:u w:val="single"/>
                </w:rPr>
                <w:t>Cautionary Note Regarding Forward-Looking Statements</w:t>
              </w:r>
            </w:hyperlink>
          </w:p>
        </w:tc>
        <w:tc>
          <w:tcPr>
            <w:tcW w:w="86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e3bfededf5c448c893e5f7ab57807eb_10">
              <w:r>
                <w:rPr>
                  <w:rStyle w:val="InternetLink"/>
                  <w:rFonts w:ascii="Times New Roman;serif" w:hAnsi="Times New Roman;serif"/>
                  <w:b w:val="false"/>
                  <w:color w:val="0000FF"/>
                  <w:sz w:val="20"/>
                  <w:u w:val="single"/>
                </w:rPr>
                <w:t>i</w:t>
              </w:r>
            </w:hyperlink>
          </w:p>
        </w:tc>
      </w:tr>
      <w:tr>
        <w:trPr/>
        <w:tc>
          <w:tcPr>
            <w:tcW w:w="93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e3bfededf5c448c893e5f7ab57807eb_13">
              <w:r>
                <w:rPr>
                  <w:rStyle w:val="InternetLink"/>
                  <w:rFonts w:ascii="Times New Roman;serif" w:hAnsi="Times New Roman;serif"/>
                  <w:b w:val="false"/>
                  <w:color w:val="0000FF"/>
                  <w:sz w:val="20"/>
                  <w:u w:val="single"/>
                </w:rPr>
                <w:t>Risk Factor Summary</w:t>
              </w:r>
            </w:hyperlink>
          </w:p>
        </w:tc>
        <w:tc>
          <w:tcPr>
            <w:tcW w:w="86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e3bfededf5c448c893e5f7ab57807eb_13">
              <w:r>
                <w:rPr>
                  <w:rStyle w:val="InternetLink"/>
                  <w:rFonts w:ascii="Times New Roman;serif" w:hAnsi="Times New Roman;serif"/>
                  <w:b w:val="false"/>
                  <w:color w:val="0000FF"/>
                  <w:sz w:val="20"/>
                  <w:u w:val="single"/>
                </w:rPr>
                <w:t>ii</w:t>
              </w:r>
            </w:hyperlink>
          </w:p>
        </w:tc>
      </w:tr>
      <w:tr>
        <w:trPr/>
        <w:tc>
          <w:tcPr>
            <w:tcW w:w="93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e3bfededf5c448c893e5f7ab57807eb_16">
              <w:r>
                <w:rPr>
                  <w:rStyle w:val="InternetLink"/>
                  <w:rFonts w:ascii="Times New Roman;serif" w:hAnsi="Times New Roman;serif"/>
                  <w:b w:val="false"/>
                  <w:color w:val="0000FF"/>
                  <w:sz w:val="20"/>
                  <w:u w:val="single"/>
                </w:rPr>
                <w:t>Part I. Financial Information</w:t>
              </w:r>
            </w:hyperlink>
          </w:p>
        </w:tc>
        <w:tc>
          <w:tcPr>
            <w:tcW w:w="86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e3bfededf5c448c893e5f7ab57807eb_16">
              <w:r>
                <w:rPr>
                  <w:rStyle w:val="InternetLink"/>
                  <w:rFonts w:ascii="Times New Roman;serif" w:hAnsi="Times New Roman;serif"/>
                  <w:b w:val="false"/>
                  <w:color w:val="0000FF"/>
                  <w:sz w:val="20"/>
                  <w:u w:val="single"/>
                </w:rPr>
                <w:t>1</w:t>
              </w:r>
            </w:hyperlink>
          </w:p>
        </w:tc>
      </w:tr>
      <w:tr>
        <w:trPr/>
        <w:tc>
          <w:tcPr>
            <w:tcW w:w="93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e3bfededf5c448c893e5f7ab57807eb_19">
              <w:r>
                <w:rPr>
                  <w:rStyle w:val="InternetLink"/>
                  <w:rFonts w:ascii="Times New Roman;serif" w:hAnsi="Times New Roman;serif"/>
                  <w:b w:val="false"/>
                  <w:color w:val="0000FF"/>
                  <w:sz w:val="20"/>
                  <w:u w:val="single"/>
                </w:rPr>
                <w:t>Item 1. Financial Statements (Unaudited):</w:t>
              </w:r>
            </w:hyperlink>
          </w:p>
        </w:tc>
        <w:tc>
          <w:tcPr>
            <w:tcW w:w="86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e3bfededf5c448c893e5f7ab57807eb_19">
              <w:r>
                <w:rPr>
                  <w:rStyle w:val="InternetLink"/>
                  <w:rFonts w:ascii="Times New Roman;serif" w:hAnsi="Times New Roman;serif"/>
                  <w:b w:val="false"/>
                  <w:color w:val="0000FF"/>
                  <w:sz w:val="20"/>
                  <w:u w:val="single"/>
                </w:rPr>
                <w:t>1</w:t>
              </w:r>
            </w:hyperlink>
          </w:p>
        </w:tc>
      </w:tr>
      <w:tr>
        <w:trPr/>
        <w:tc>
          <w:tcPr>
            <w:tcW w:w="93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e3bfededf5c448c893e5f7ab57807eb_22">
              <w:r>
                <w:rPr>
                  <w:rStyle w:val="InternetLink"/>
                  <w:rFonts w:ascii="Times New Roman;serif" w:hAnsi="Times New Roman;serif"/>
                  <w:b w:val="false"/>
                  <w:color w:val="000080"/>
                  <w:sz w:val="20"/>
                  <w:u w:val="single"/>
                </w:rPr>
                <w:t xml:space="preserve">Condensed Consolidated Balance Sheets as of </w:t>
              </w:r>
            </w:hyperlink>
            <w:hyperlink w:anchor="iae3bfededf5c448c893e5f7ab57807eb_22">
              <w:r>
                <w:rPr>
                  <w:rStyle w:val="InternetLink"/>
                  <w:rFonts w:ascii="Times New Roman;serif" w:hAnsi="Times New Roman;serif"/>
                  <w:b w:val="false"/>
                  <w:color w:val="000080"/>
                  <w:sz w:val="20"/>
                  <w:u w:val="single"/>
                </w:rPr>
                <w:t>March 31</w:t>
              </w:r>
            </w:hyperlink>
            <w:hyperlink w:anchor="iae3bfededf5c448c893e5f7ab57807eb_22">
              <w:r>
                <w:rPr>
                  <w:rStyle w:val="InternetLink"/>
                  <w:rFonts w:ascii="Times New Roman;serif" w:hAnsi="Times New Roman;serif"/>
                  <w:b w:val="false"/>
                  <w:color w:val="000080"/>
                  <w:sz w:val="20"/>
                  <w:u w:val="single"/>
                </w:rPr>
                <w:t xml:space="preserve">, </w:t>
              </w:r>
            </w:hyperlink>
            <w:hyperlink w:anchor="iae3bfededf5c448c893e5f7ab57807eb_22">
              <w:r>
                <w:rPr>
                  <w:rStyle w:val="InternetLink"/>
                  <w:rFonts w:ascii="Times New Roman;serif" w:hAnsi="Times New Roman;serif"/>
                  <w:b w:val="false"/>
                  <w:color w:val="000080"/>
                  <w:sz w:val="20"/>
                  <w:u w:val="single"/>
                </w:rPr>
                <w:t>2</w:t>
              </w:r>
            </w:hyperlink>
            <w:hyperlink w:anchor="iae3bfededf5c448c893e5f7ab57807eb_22">
              <w:r>
                <w:rPr>
                  <w:rStyle w:val="InternetLink"/>
                  <w:rFonts w:ascii="Times New Roman;serif" w:hAnsi="Times New Roman;serif"/>
                  <w:b w:val="false"/>
                  <w:color w:val="000080"/>
                  <w:sz w:val="20"/>
                  <w:u w:val="single"/>
                </w:rPr>
                <w:t>0</w:t>
              </w:r>
            </w:hyperlink>
            <w:hyperlink w:anchor="iae3bfededf5c448c893e5f7ab57807eb_22">
              <w:r>
                <w:rPr>
                  <w:rStyle w:val="InternetLink"/>
                  <w:rFonts w:ascii="Times New Roman;serif" w:hAnsi="Times New Roman;serif"/>
                  <w:b w:val="false"/>
                  <w:color w:val="000080"/>
                  <w:sz w:val="20"/>
                  <w:u w:val="single"/>
                </w:rPr>
                <w:t>2</w:t>
              </w:r>
            </w:hyperlink>
            <w:hyperlink w:anchor="iae3bfededf5c448c893e5f7ab57807eb_22">
              <w:r>
                <w:rPr>
                  <w:rStyle w:val="InternetLink"/>
                  <w:rFonts w:ascii="Times New Roman;serif" w:hAnsi="Times New Roman;serif"/>
                  <w:b w:val="false"/>
                  <w:color w:val="000080"/>
                  <w:sz w:val="20"/>
                  <w:u w:val="single"/>
                </w:rPr>
                <w:t>6</w:t>
              </w:r>
            </w:hyperlink>
            <w:hyperlink w:anchor="iae3bfededf5c448c893e5f7ab57807eb_22">
              <w:r>
                <w:rPr>
                  <w:rStyle w:val="InternetLink"/>
                  <w:rFonts w:ascii="Times New Roman;serif" w:hAnsi="Times New Roman;serif"/>
                  <w:b w:val="false"/>
                  <w:color w:val="000080"/>
                  <w:sz w:val="20"/>
                  <w:u w:val="single"/>
                </w:rPr>
                <w:t xml:space="preserve"> and December 31, 20</w:t>
              </w:r>
            </w:hyperlink>
            <w:hyperlink w:anchor="iae3bfededf5c448c893e5f7ab57807eb_22">
              <w:r>
                <w:rPr>
                  <w:rStyle w:val="InternetLink"/>
                  <w:rFonts w:ascii="Times New Roman;serif" w:hAnsi="Times New Roman;serif"/>
                  <w:b w:val="false"/>
                  <w:color w:val="000080"/>
                  <w:sz w:val="20"/>
                  <w:u w:val="single"/>
                </w:rPr>
                <w:t>25</w:t>
              </w:r>
            </w:hyperlink>
          </w:p>
        </w:tc>
        <w:tc>
          <w:tcPr>
            <w:tcW w:w="86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e3bfededf5c448c893e5f7ab57807eb_22">
              <w:r>
                <w:rPr>
                  <w:rStyle w:val="InternetLink"/>
                  <w:rFonts w:ascii="Times New Roman;serif" w:hAnsi="Times New Roman;serif"/>
                  <w:b w:val="false"/>
                  <w:color w:val="0000FF"/>
                  <w:sz w:val="20"/>
                  <w:u w:val="single"/>
                </w:rPr>
                <w:t>1</w:t>
              </w:r>
            </w:hyperlink>
          </w:p>
        </w:tc>
      </w:tr>
      <w:tr>
        <w:trPr/>
        <w:tc>
          <w:tcPr>
            <w:tcW w:w="93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e3bfededf5c448c893e5f7ab57807eb_25">
              <w:r>
                <w:rPr>
                  <w:rStyle w:val="InternetLink"/>
                  <w:rFonts w:ascii="Times New Roman;serif" w:hAnsi="Times New Roman;serif"/>
                  <w:b w:val="false"/>
                  <w:color w:val="000080"/>
                  <w:sz w:val="20"/>
                  <w:u w:val="single"/>
                </w:rPr>
                <w:t>Condensed Consolidated Statements of Comprehensive</w:t>
              </w:r>
            </w:hyperlink>
            <w:hyperlink w:anchor="iae3bfededf5c448c893e5f7ab57807eb_25">
              <w:r>
                <w:rPr>
                  <w:rStyle w:val="InternetLink"/>
                  <w:rFonts w:ascii="Times New Roman;serif" w:hAnsi="Times New Roman;serif"/>
                  <w:b w:val="false"/>
                  <w:color w:val="000080"/>
                  <w:sz w:val="20"/>
                  <w:u w:val="single"/>
                </w:rPr>
                <w:t xml:space="preserve"> (Loss)</w:t>
              </w:r>
            </w:hyperlink>
            <w:hyperlink w:anchor="iae3bfededf5c448c893e5f7ab57807eb_25">
              <w:r>
                <w:rPr>
                  <w:rStyle w:val="InternetLink"/>
                  <w:rFonts w:ascii="Times New Roman;serif" w:hAnsi="Times New Roman;serif"/>
                  <w:b w:val="false"/>
                  <w:color w:val="000080"/>
                  <w:sz w:val="20"/>
                  <w:u w:val="single"/>
                </w:rPr>
                <w:t xml:space="preserve"> Income</w:t>
              </w:r>
            </w:hyperlink>
            <w:hyperlink w:anchor="iae3bfededf5c448c893e5f7ab57807eb_25">
              <w:r>
                <w:rPr>
                  <w:rStyle w:val="InternetLink"/>
                  <w:rFonts w:ascii="Times New Roman;serif" w:hAnsi="Times New Roman;serif"/>
                  <w:b w:val="false"/>
                  <w:color w:val="000080"/>
                  <w:sz w:val="20"/>
                  <w:u w:val="single"/>
                </w:rPr>
                <w:t xml:space="preserve"> </w:t>
              </w:r>
            </w:hyperlink>
            <w:hyperlink w:anchor="iae3bfededf5c448c893e5f7ab57807eb_25">
              <w:r>
                <w:rPr>
                  <w:rStyle w:val="InternetLink"/>
                  <w:rFonts w:ascii="Times New Roman;serif" w:hAnsi="Times New Roman;serif"/>
                  <w:b w:val="false"/>
                  <w:color w:val="000080"/>
                  <w:sz w:val="20"/>
                  <w:u w:val="single"/>
                </w:rPr>
                <w:t xml:space="preserve">for the Three </w:t>
              </w:r>
            </w:hyperlink>
            <w:hyperlink w:anchor="iae3bfededf5c448c893e5f7ab57807eb_25">
              <w:r>
                <w:rPr>
                  <w:rStyle w:val="InternetLink"/>
                  <w:rFonts w:ascii="Times New Roman;serif" w:hAnsi="Times New Roman;serif"/>
                  <w:b w:val="false"/>
                  <w:color w:val="000080"/>
                  <w:sz w:val="20"/>
                  <w:u w:val="single"/>
                </w:rPr>
                <w:t xml:space="preserve">Months Ended </w:t>
              </w:r>
            </w:hyperlink>
            <w:hyperlink w:anchor="iae3bfededf5c448c893e5f7ab57807eb_25">
              <w:r>
                <w:rPr>
                  <w:rStyle w:val="InternetLink"/>
                  <w:rFonts w:ascii="Times New Roman;serif" w:hAnsi="Times New Roman;serif"/>
                  <w:b w:val="false"/>
                  <w:color w:val="000080"/>
                  <w:sz w:val="20"/>
                  <w:u w:val="single"/>
                </w:rPr>
                <w:t>March 31</w:t>
              </w:r>
            </w:hyperlink>
            <w:hyperlink w:anchor="iae3bfededf5c448c893e5f7ab57807eb_25">
              <w:r>
                <w:rPr>
                  <w:rStyle w:val="InternetLink"/>
                  <w:rFonts w:ascii="Times New Roman;serif" w:hAnsi="Times New Roman;serif"/>
                  <w:b w:val="false"/>
                  <w:color w:val="000080"/>
                  <w:sz w:val="20"/>
                  <w:u w:val="single"/>
                </w:rPr>
                <w:t>, 202</w:t>
              </w:r>
            </w:hyperlink>
            <w:hyperlink w:anchor="iae3bfededf5c448c893e5f7ab57807eb_25">
              <w:r>
                <w:rPr>
                  <w:rStyle w:val="InternetLink"/>
                  <w:rFonts w:ascii="Times New Roman;serif" w:hAnsi="Times New Roman;serif"/>
                  <w:b w:val="false"/>
                  <w:color w:val="000080"/>
                  <w:sz w:val="20"/>
                  <w:u w:val="single"/>
                </w:rPr>
                <w:t>6</w:t>
              </w:r>
            </w:hyperlink>
            <w:hyperlink w:anchor="iae3bfededf5c448c893e5f7ab57807eb_25">
              <w:r>
                <w:rPr>
                  <w:rStyle w:val="InternetLink"/>
                  <w:rFonts w:ascii="Times New Roman;serif" w:hAnsi="Times New Roman;serif"/>
                  <w:b w:val="false"/>
                  <w:color w:val="000080"/>
                  <w:sz w:val="20"/>
                  <w:u w:val="single"/>
                </w:rPr>
                <w:t xml:space="preserve"> and 20</w:t>
              </w:r>
            </w:hyperlink>
            <w:hyperlink w:anchor="iae3bfededf5c448c893e5f7ab57807eb_25">
              <w:r>
                <w:rPr>
                  <w:rStyle w:val="InternetLink"/>
                  <w:rFonts w:ascii="Times New Roman;serif" w:hAnsi="Times New Roman;serif"/>
                  <w:b w:val="false"/>
                  <w:color w:val="000080"/>
                  <w:sz w:val="20"/>
                  <w:u w:val="single"/>
                </w:rPr>
                <w:t>25</w:t>
              </w:r>
            </w:hyperlink>
          </w:p>
        </w:tc>
        <w:tc>
          <w:tcPr>
            <w:tcW w:w="86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e3bfededf5c448c893e5f7ab57807eb_25">
              <w:r>
                <w:rPr>
                  <w:rStyle w:val="InternetLink"/>
                  <w:rFonts w:ascii="Times New Roman;serif" w:hAnsi="Times New Roman;serif"/>
                  <w:b w:val="false"/>
                  <w:color w:val="0000FF"/>
                  <w:sz w:val="20"/>
                  <w:u w:val="single"/>
                </w:rPr>
                <w:t>2</w:t>
              </w:r>
            </w:hyperlink>
          </w:p>
        </w:tc>
      </w:tr>
      <w:tr>
        <w:trPr/>
        <w:tc>
          <w:tcPr>
            <w:tcW w:w="93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e3bfededf5c448c893e5f7ab57807eb_28">
              <w:r>
                <w:rPr>
                  <w:rStyle w:val="InternetLink"/>
                  <w:rFonts w:ascii="Times New Roman;serif" w:hAnsi="Times New Roman;serif"/>
                  <w:b w:val="false"/>
                  <w:color w:val="000080"/>
                  <w:sz w:val="20"/>
                  <w:u w:val="single"/>
                </w:rPr>
                <w:t xml:space="preserve">Condensed Consolidated Statements of Cash Flows for the </w:t>
              </w:r>
            </w:hyperlink>
            <w:hyperlink w:anchor="iae3bfededf5c448c893e5f7ab57807eb_28">
              <w:r>
                <w:rPr>
                  <w:rStyle w:val="InternetLink"/>
                  <w:rFonts w:ascii="Times New Roman;serif" w:hAnsi="Times New Roman;serif"/>
                  <w:b w:val="false"/>
                  <w:color w:val="000080"/>
                  <w:sz w:val="20"/>
                  <w:u w:val="single"/>
                </w:rPr>
                <w:t>Three</w:t>
              </w:r>
            </w:hyperlink>
            <w:hyperlink w:anchor="iae3bfededf5c448c893e5f7ab57807eb_28">
              <w:r>
                <w:rPr>
                  <w:rStyle w:val="InternetLink"/>
                  <w:rFonts w:ascii="Times New Roman;serif" w:hAnsi="Times New Roman;serif"/>
                  <w:b w:val="false"/>
                  <w:color w:val="000080"/>
                  <w:sz w:val="20"/>
                  <w:u w:val="single"/>
                </w:rPr>
                <w:t xml:space="preserve"> Months Ended </w:t>
              </w:r>
            </w:hyperlink>
            <w:hyperlink w:anchor="iae3bfededf5c448c893e5f7ab57807eb_28">
              <w:r>
                <w:rPr>
                  <w:rStyle w:val="InternetLink"/>
                  <w:rFonts w:ascii="Times New Roman;serif" w:hAnsi="Times New Roman;serif"/>
                  <w:b w:val="false"/>
                  <w:color w:val="000080"/>
                  <w:sz w:val="20"/>
                  <w:u w:val="single"/>
                </w:rPr>
                <w:t>March 31</w:t>
              </w:r>
            </w:hyperlink>
            <w:hyperlink w:anchor="iae3bfededf5c448c893e5f7ab57807eb_28">
              <w:r>
                <w:rPr>
                  <w:rStyle w:val="InternetLink"/>
                  <w:rFonts w:ascii="Times New Roman;serif" w:hAnsi="Times New Roman;serif"/>
                  <w:b w:val="false"/>
                  <w:color w:val="000080"/>
                  <w:sz w:val="20"/>
                  <w:u w:val="single"/>
                </w:rPr>
                <w:t>, 202</w:t>
              </w:r>
            </w:hyperlink>
            <w:hyperlink w:anchor="iae3bfededf5c448c893e5f7ab57807eb_28">
              <w:r>
                <w:rPr>
                  <w:rStyle w:val="InternetLink"/>
                  <w:rFonts w:ascii="Times New Roman;serif" w:hAnsi="Times New Roman;serif"/>
                  <w:b w:val="false"/>
                  <w:color w:val="000080"/>
                  <w:sz w:val="20"/>
                  <w:u w:val="single"/>
                </w:rPr>
                <w:t>6</w:t>
              </w:r>
            </w:hyperlink>
            <w:hyperlink w:anchor="iae3bfededf5c448c893e5f7ab57807eb_28">
              <w:r>
                <w:rPr>
                  <w:rStyle w:val="InternetLink"/>
                  <w:rFonts w:ascii="Times New Roman;serif" w:hAnsi="Times New Roman;serif"/>
                  <w:b w:val="false"/>
                  <w:color w:val="000080"/>
                  <w:sz w:val="20"/>
                  <w:u w:val="single"/>
                </w:rPr>
                <w:t xml:space="preserve"> and 20</w:t>
              </w:r>
            </w:hyperlink>
            <w:hyperlink w:anchor="iae3bfededf5c448c893e5f7ab57807eb_28">
              <w:r>
                <w:rPr>
                  <w:rStyle w:val="InternetLink"/>
                  <w:rFonts w:ascii="Times New Roman;serif" w:hAnsi="Times New Roman;serif"/>
                  <w:b w:val="false"/>
                  <w:color w:val="000080"/>
                  <w:sz w:val="20"/>
                  <w:u w:val="single"/>
                </w:rPr>
                <w:t>25</w:t>
              </w:r>
            </w:hyperlink>
          </w:p>
        </w:tc>
        <w:tc>
          <w:tcPr>
            <w:tcW w:w="86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e3bfededf5c448c893e5f7ab57807eb_28">
              <w:r>
                <w:rPr>
                  <w:rStyle w:val="InternetLink"/>
                  <w:rFonts w:ascii="Times New Roman;serif" w:hAnsi="Times New Roman;serif"/>
                  <w:b w:val="false"/>
                  <w:color w:val="0000FF"/>
                  <w:sz w:val="20"/>
                  <w:u w:val="single"/>
                </w:rPr>
                <w:t>3</w:t>
              </w:r>
            </w:hyperlink>
          </w:p>
        </w:tc>
      </w:tr>
      <w:tr>
        <w:trPr/>
        <w:tc>
          <w:tcPr>
            <w:tcW w:w="93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e3bfededf5c448c893e5f7ab57807eb_31">
              <w:r>
                <w:rPr>
                  <w:rStyle w:val="InternetLink"/>
                  <w:rFonts w:ascii="Times New Roman;serif" w:hAnsi="Times New Roman;serif"/>
                  <w:b w:val="false"/>
                  <w:color w:val="000080"/>
                  <w:sz w:val="20"/>
                  <w:u w:val="single"/>
                </w:rPr>
                <w:t xml:space="preserve">Condensed Consolidated Statements of Stockholders’ Deficit for the Three </w:t>
              </w:r>
            </w:hyperlink>
            <w:hyperlink w:anchor="iae3bfededf5c448c893e5f7ab57807eb_31">
              <w:r>
                <w:rPr>
                  <w:rStyle w:val="InternetLink"/>
                  <w:rFonts w:ascii="Times New Roman;serif" w:hAnsi="Times New Roman;serif"/>
                  <w:b w:val="false"/>
                  <w:color w:val="000080"/>
                  <w:sz w:val="20"/>
                  <w:u w:val="single"/>
                </w:rPr>
                <w:t xml:space="preserve">Months Ended </w:t>
              </w:r>
            </w:hyperlink>
            <w:hyperlink w:anchor="iae3bfededf5c448c893e5f7ab57807eb_31">
              <w:r>
                <w:rPr>
                  <w:rStyle w:val="InternetLink"/>
                  <w:rFonts w:ascii="Times New Roman;serif" w:hAnsi="Times New Roman;serif"/>
                  <w:b w:val="false"/>
                  <w:color w:val="000080"/>
                  <w:sz w:val="20"/>
                  <w:u w:val="single"/>
                </w:rPr>
                <w:t>March 31</w:t>
              </w:r>
            </w:hyperlink>
            <w:hyperlink w:anchor="iae3bfededf5c448c893e5f7ab57807eb_31">
              <w:r>
                <w:rPr>
                  <w:rStyle w:val="InternetLink"/>
                  <w:rFonts w:ascii="Times New Roman;serif" w:hAnsi="Times New Roman;serif"/>
                  <w:b w:val="false"/>
                  <w:color w:val="000080"/>
                  <w:sz w:val="20"/>
                  <w:u w:val="single"/>
                </w:rPr>
                <w:t>, 202</w:t>
              </w:r>
            </w:hyperlink>
            <w:hyperlink w:anchor="iae3bfededf5c448c893e5f7ab57807eb_31">
              <w:r>
                <w:rPr>
                  <w:rStyle w:val="InternetLink"/>
                  <w:rFonts w:ascii="Times New Roman;serif" w:hAnsi="Times New Roman;serif"/>
                  <w:b w:val="false"/>
                  <w:color w:val="000080"/>
                  <w:sz w:val="20"/>
                  <w:u w:val="single"/>
                </w:rPr>
                <w:t>6</w:t>
              </w:r>
            </w:hyperlink>
            <w:hyperlink w:anchor="iae3bfededf5c448c893e5f7ab57807eb_31">
              <w:r>
                <w:rPr>
                  <w:rStyle w:val="InternetLink"/>
                  <w:rFonts w:ascii="Times New Roman;serif" w:hAnsi="Times New Roman;serif"/>
                  <w:b w:val="false"/>
                  <w:color w:val="000080"/>
                  <w:sz w:val="20"/>
                  <w:u w:val="single"/>
                </w:rPr>
                <w:t xml:space="preserve"> and 20</w:t>
              </w:r>
            </w:hyperlink>
            <w:hyperlink w:anchor="iae3bfededf5c448c893e5f7ab57807eb_31">
              <w:r>
                <w:rPr>
                  <w:rStyle w:val="InternetLink"/>
                  <w:rFonts w:ascii="Times New Roman;serif" w:hAnsi="Times New Roman;serif"/>
                  <w:b w:val="false"/>
                  <w:color w:val="000080"/>
                  <w:sz w:val="20"/>
                  <w:u w:val="single"/>
                </w:rPr>
                <w:t>25</w:t>
              </w:r>
            </w:hyperlink>
          </w:p>
        </w:tc>
        <w:tc>
          <w:tcPr>
            <w:tcW w:w="86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e3bfededf5c448c893e5f7ab57807eb_31">
              <w:r>
                <w:rPr>
                  <w:rStyle w:val="InternetLink"/>
                  <w:rFonts w:ascii="Times New Roman;serif" w:hAnsi="Times New Roman;serif"/>
                  <w:b w:val="false"/>
                  <w:color w:val="0000FF"/>
                  <w:sz w:val="20"/>
                  <w:u w:val="single"/>
                </w:rPr>
                <w:t>5</w:t>
              </w:r>
            </w:hyperlink>
          </w:p>
        </w:tc>
      </w:tr>
      <w:tr>
        <w:trPr/>
        <w:tc>
          <w:tcPr>
            <w:tcW w:w="93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e3bfededf5c448c893e5f7ab57807eb_34">
              <w:r>
                <w:rPr>
                  <w:rStyle w:val="InternetLink"/>
                  <w:rFonts w:ascii="Times New Roman;serif" w:hAnsi="Times New Roman;serif"/>
                  <w:b w:val="false"/>
                  <w:color w:val="0000FF"/>
                  <w:sz w:val="20"/>
                  <w:u w:val="single"/>
                </w:rPr>
                <w:t>Notes to Condensed Consolidated Financial Statements</w:t>
              </w:r>
            </w:hyperlink>
          </w:p>
        </w:tc>
        <w:tc>
          <w:tcPr>
            <w:tcW w:w="86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e3bfededf5c448c893e5f7ab57807eb_34">
              <w:r>
                <w:rPr>
                  <w:rStyle w:val="InternetLink"/>
                  <w:rFonts w:ascii="Times New Roman;serif" w:hAnsi="Times New Roman;serif"/>
                  <w:b w:val="false"/>
                  <w:color w:val="0000FF"/>
                  <w:sz w:val="20"/>
                  <w:u w:val="single"/>
                </w:rPr>
                <w:t>6</w:t>
              </w:r>
            </w:hyperlink>
          </w:p>
        </w:tc>
      </w:tr>
      <w:tr>
        <w:trPr/>
        <w:tc>
          <w:tcPr>
            <w:tcW w:w="93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e3bfededf5c448c893e5f7ab57807eb_88">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86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e3bfededf5c448c893e5f7ab57807eb_88">
              <w:r>
                <w:rPr>
                  <w:rStyle w:val="InternetLink"/>
                  <w:rFonts w:ascii="Times New Roman;serif" w:hAnsi="Times New Roman;serif"/>
                  <w:b w:val="false"/>
                  <w:color w:val="0000FF"/>
                  <w:sz w:val="20"/>
                  <w:u w:val="single"/>
                </w:rPr>
                <w:t>33</w:t>
              </w:r>
            </w:hyperlink>
          </w:p>
        </w:tc>
      </w:tr>
      <w:tr>
        <w:trPr/>
        <w:tc>
          <w:tcPr>
            <w:tcW w:w="93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e3bfededf5c448c893e5f7ab57807eb_112">
              <w:r>
                <w:rPr>
                  <w:rStyle w:val="InternetLink"/>
                  <w:rFonts w:ascii="Times New Roman;serif" w:hAnsi="Times New Roman;serif"/>
                  <w:b w:val="false"/>
                  <w:color w:val="0000FF"/>
                  <w:sz w:val="20"/>
                  <w:u w:val="single"/>
                </w:rPr>
                <w:t>Item 3. Quantitative and Qualitative Disclosures About Market Risk</w:t>
              </w:r>
            </w:hyperlink>
          </w:p>
        </w:tc>
        <w:tc>
          <w:tcPr>
            <w:tcW w:w="86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e3bfededf5c448c893e5f7ab57807eb_112">
              <w:r>
                <w:rPr>
                  <w:rStyle w:val="InternetLink"/>
                  <w:rFonts w:ascii="Times New Roman;serif" w:hAnsi="Times New Roman;serif"/>
                  <w:b w:val="false"/>
                  <w:color w:val="0000FF"/>
                  <w:sz w:val="20"/>
                  <w:u w:val="single"/>
                </w:rPr>
                <w:t>44</w:t>
              </w:r>
            </w:hyperlink>
          </w:p>
        </w:tc>
      </w:tr>
      <w:tr>
        <w:trPr/>
        <w:tc>
          <w:tcPr>
            <w:tcW w:w="93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e3bfededf5c448c893e5f7ab57807eb_115">
              <w:r>
                <w:rPr>
                  <w:rStyle w:val="InternetLink"/>
                  <w:rFonts w:ascii="Times New Roman;serif" w:hAnsi="Times New Roman;serif"/>
                  <w:b w:val="false"/>
                  <w:color w:val="0000FF"/>
                  <w:sz w:val="20"/>
                  <w:u w:val="single"/>
                </w:rPr>
                <w:t>Item 4. Controls and Procedures</w:t>
              </w:r>
            </w:hyperlink>
          </w:p>
        </w:tc>
        <w:tc>
          <w:tcPr>
            <w:tcW w:w="86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e3bfededf5c448c893e5f7ab57807eb_115">
              <w:r>
                <w:rPr>
                  <w:rStyle w:val="InternetLink"/>
                  <w:rFonts w:ascii="Times New Roman;serif" w:hAnsi="Times New Roman;serif"/>
                  <w:b w:val="false"/>
                  <w:color w:val="0000FF"/>
                  <w:sz w:val="20"/>
                  <w:u w:val="single"/>
                </w:rPr>
                <w:t>45</w:t>
              </w:r>
            </w:hyperlink>
          </w:p>
        </w:tc>
      </w:tr>
      <w:tr>
        <w:trPr/>
        <w:tc>
          <w:tcPr>
            <w:tcW w:w="93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e3bfededf5c448c893e5f7ab57807eb_118">
              <w:r>
                <w:rPr>
                  <w:rStyle w:val="InternetLink"/>
                  <w:rFonts w:ascii="Times New Roman;serif" w:hAnsi="Times New Roman;serif"/>
                  <w:b w:val="false"/>
                  <w:color w:val="0000FF"/>
                  <w:sz w:val="20"/>
                  <w:u w:val="single"/>
                </w:rPr>
                <w:t>Part II. Other Information</w:t>
              </w:r>
            </w:hyperlink>
          </w:p>
        </w:tc>
        <w:tc>
          <w:tcPr>
            <w:tcW w:w="86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e3bfededf5c448c893e5f7ab57807eb_118">
              <w:r>
                <w:rPr>
                  <w:rStyle w:val="InternetLink"/>
                  <w:rFonts w:ascii="Times New Roman;serif" w:hAnsi="Times New Roman;serif"/>
                  <w:b w:val="false"/>
                  <w:color w:val="0000FF"/>
                  <w:sz w:val="20"/>
                  <w:u w:val="single"/>
                </w:rPr>
                <w:t>46</w:t>
              </w:r>
            </w:hyperlink>
          </w:p>
        </w:tc>
      </w:tr>
      <w:tr>
        <w:trPr/>
        <w:tc>
          <w:tcPr>
            <w:tcW w:w="93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e3bfededf5c448c893e5f7ab57807eb_121">
              <w:r>
                <w:rPr>
                  <w:rStyle w:val="InternetLink"/>
                  <w:rFonts w:ascii="Times New Roman;serif" w:hAnsi="Times New Roman;serif"/>
                  <w:b w:val="false"/>
                  <w:color w:val="0000FF"/>
                  <w:sz w:val="20"/>
                  <w:u w:val="single"/>
                </w:rPr>
                <w:t>Item 1. Legal Proceedings</w:t>
              </w:r>
            </w:hyperlink>
          </w:p>
        </w:tc>
        <w:tc>
          <w:tcPr>
            <w:tcW w:w="86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e3bfededf5c448c893e5f7ab57807eb_121">
              <w:r>
                <w:rPr>
                  <w:rStyle w:val="InternetLink"/>
                  <w:rFonts w:ascii="Times New Roman;serif" w:hAnsi="Times New Roman;serif"/>
                  <w:b w:val="false"/>
                  <w:color w:val="0000FF"/>
                  <w:sz w:val="20"/>
                  <w:u w:val="single"/>
                </w:rPr>
                <w:t>46</w:t>
              </w:r>
            </w:hyperlink>
          </w:p>
        </w:tc>
      </w:tr>
      <w:tr>
        <w:trPr/>
        <w:tc>
          <w:tcPr>
            <w:tcW w:w="93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e3bfededf5c448c893e5f7ab57807eb_124">
              <w:r>
                <w:rPr>
                  <w:rStyle w:val="InternetLink"/>
                  <w:rFonts w:ascii="Times New Roman;serif" w:hAnsi="Times New Roman;serif"/>
                  <w:b w:val="false"/>
                  <w:color w:val="0000FF"/>
                  <w:sz w:val="20"/>
                  <w:u w:val="single"/>
                </w:rPr>
                <w:t>Item 1A. Risk Factors</w:t>
              </w:r>
            </w:hyperlink>
          </w:p>
        </w:tc>
        <w:tc>
          <w:tcPr>
            <w:tcW w:w="86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e3bfededf5c448c893e5f7ab57807eb_124">
              <w:r>
                <w:rPr>
                  <w:rStyle w:val="InternetLink"/>
                  <w:rFonts w:ascii="Times New Roman;serif" w:hAnsi="Times New Roman;serif"/>
                  <w:b w:val="false"/>
                  <w:color w:val="0000FF"/>
                  <w:sz w:val="20"/>
                  <w:u w:val="single"/>
                </w:rPr>
                <w:t>46</w:t>
              </w:r>
            </w:hyperlink>
          </w:p>
        </w:tc>
      </w:tr>
      <w:tr>
        <w:trPr/>
        <w:tc>
          <w:tcPr>
            <w:tcW w:w="93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e3bfededf5c448c893e5f7ab57807eb_127">
              <w:r>
                <w:rPr>
                  <w:rStyle w:val="InternetLink"/>
                  <w:rFonts w:ascii="Times New Roman;serif" w:hAnsi="Times New Roman;serif"/>
                  <w:b w:val="false"/>
                  <w:color w:val="0000FF"/>
                  <w:sz w:val="20"/>
                  <w:u w:val="single"/>
                </w:rPr>
                <w:t>Item 5. Other Information</w:t>
              </w:r>
            </w:hyperlink>
          </w:p>
        </w:tc>
        <w:tc>
          <w:tcPr>
            <w:tcW w:w="86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e3bfededf5c448c893e5f7ab57807eb_127">
              <w:r>
                <w:rPr>
                  <w:rStyle w:val="InternetLink"/>
                  <w:rFonts w:ascii="Times New Roman;serif" w:hAnsi="Times New Roman;serif"/>
                  <w:b w:val="false"/>
                  <w:color w:val="0000FF"/>
                  <w:sz w:val="20"/>
                  <w:u w:val="single"/>
                </w:rPr>
                <w:t>77</w:t>
              </w:r>
            </w:hyperlink>
          </w:p>
        </w:tc>
      </w:tr>
      <w:tr>
        <w:trPr/>
        <w:tc>
          <w:tcPr>
            <w:tcW w:w="93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e3bfededf5c448c893e5f7ab57807eb_133">
              <w:r>
                <w:rPr>
                  <w:rStyle w:val="InternetLink"/>
                  <w:rFonts w:ascii="Times New Roman;serif" w:hAnsi="Times New Roman;serif"/>
                  <w:b w:val="false"/>
                  <w:color w:val="0000FF"/>
                  <w:sz w:val="20"/>
                  <w:u w:val="single"/>
                </w:rPr>
                <w:t>Item 6. Exhibits</w:t>
              </w:r>
            </w:hyperlink>
          </w:p>
        </w:tc>
        <w:tc>
          <w:tcPr>
            <w:tcW w:w="86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e3bfededf5c448c893e5f7ab57807eb_133">
              <w:r>
                <w:rPr>
                  <w:rStyle w:val="InternetLink"/>
                  <w:rFonts w:ascii="Times New Roman;serif" w:hAnsi="Times New Roman;serif"/>
                  <w:b w:val="false"/>
                  <w:color w:val="0000FF"/>
                  <w:sz w:val="20"/>
                  <w:u w:val="single"/>
                </w:rPr>
                <w:t>79</w:t>
              </w:r>
            </w:hyperlink>
          </w:p>
        </w:tc>
      </w:tr>
      <w:tr>
        <w:trPr/>
        <w:tc>
          <w:tcPr>
            <w:tcW w:w="93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e3bfededf5c448c893e5f7ab57807eb_136">
              <w:r>
                <w:rPr>
                  <w:rStyle w:val="InternetLink"/>
                  <w:rFonts w:ascii="Times New Roman;serif" w:hAnsi="Times New Roman;serif"/>
                  <w:b w:val="false"/>
                  <w:color w:val="0000FF"/>
                  <w:sz w:val="20"/>
                  <w:u w:val="single"/>
                </w:rPr>
                <w:t>Signatures</w:t>
              </w:r>
            </w:hyperlink>
          </w:p>
        </w:tc>
        <w:tc>
          <w:tcPr>
            <w:tcW w:w="865"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e3bfededf5c448c893e5f7ab57807eb_136">
              <w:r>
                <w:rPr>
                  <w:rStyle w:val="InternetLink"/>
                  <w:rFonts w:ascii="Times New Roman;serif" w:hAnsi="Times New Roman;serif"/>
                  <w:b w:val="false"/>
                  <w:color w:val="0000FF"/>
                  <w:sz w:val="20"/>
                  <w:u w:val="single"/>
                </w:rPr>
                <w:t>81</w:t>
              </w:r>
            </w:hyperlink>
          </w:p>
        </w:tc>
      </w:tr>
      <w:tr>
        <w:trPr/>
        <w:tc>
          <w:tcPr>
            <w:tcW w:w="9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pPr>
      <w:r>
        <w:rPr>
          <w:rFonts w:ascii="Times New Roman;serif" w:hAnsi="Times New Roman;serif"/>
          <w:b w:val="false"/>
          <w:i/>
          <w:color w:val="000000"/>
          <w:sz w:val="20"/>
        </w:rPr>
        <w:t xml:space="preserve">When used in this report, unless otherwise indicated, </w:t>
      </w:r>
      <w:r>
        <w:rPr>
          <w:color w:val="000000"/>
        </w:rPr>
        <w:t>“</w:t>
      </w:r>
      <w:r>
        <w:rPr>
          <w:rFonts w:ascii="Times New Roman;serif" w:hAnsi="Times New Roman;serif"/>
          <w:b w:val="false"/>
          <w:i/>
          <w:color w:val="000000"/>
          <w:sz w:val="20"/>
        </w:rPr>
        <w:t>we,</w:t>
      </w:r>
      <w:r>
        <w:rPr>
          <w:color w:val="000000"/>
        </w:rPr>
        <w:t>” “</w:t>
      </w:r>
      <w:r>
        <w:rPr>
          <w:rFonts w:ascii="Times New Roman;serif" w:hAnsi="Times New Roman;serif"/>
          <w:b w:val="false"/>
          <w:i/>
          <w:color w:val="000000"/>
          <w:sz w:val="20"/>
        </w:rPr>
        <w:t>our,</w:t>
      </w:r>
      <w:r>
        <w:rPr>
          <w:color w:val="000000"/>
        </w:rPr>
        <w:t>” “</w:t>
      </w:r>
      <w:r>
        <w:rPr>
          <w:rFonts w:ascii="Times New Roman;serif" w:hAnsi="Times New Roman;serif"/>
          <w:b w:val="false"/>
          <w:i/>
          <w:color w:val="000000"/>
          <w:sz w:val="20"/>
        </w:rPr>
        <w:t>us,</w:t>
      </w:r>
      <w:r>
        <w:rPr>
          <w:color w:val="000000"/>
        </w:rPr>
        <w:t xml:space="preserve">” </w:t>
      </w:r>
      <w:r>
        <w:rPr>
          <w:rFonts w:ascii="Times New Roman;serif" w:hAnsi="Times New Roman;serif"/>
          <w:b w:val="false"/>
          <w:i/>
          <w:color w:val="000000"/>
          <w:sz w:val="20"/>
        </w:rPr>
        <w:t xml:space="preserve">the </w:t>
      </w:r>
      <w:r>
        <w:rPr>
          <w:color w:val="000000"/>
        </w:rPr>
        <w:t>“</w:t>
      </w:r>
      <w:r>
        <w:rPr>
          <w:rFonts w:ascii="Times New Roman;serif" w:hAnsi="Times New Roman;serif"/>
          <w:b w:val="false"/>
          <w:i/>
          <w:color w:val="000000"/>
          <w:sz w:val="20"/>
        </w:rPr>
        <w:t>Company,</w:t>
      </w:r>
      <w:r>
        <w:rPr>
          <w:color w:val="000000"/>
        </w:rPr>
        <w:t xml:space="preserve">” </w:t>
      </w:r>
      <w:r>
        <w:rPr>
          <w:rFonts w:ascii="Times New Roman;serif" w:hAnsi="Times New Roman;serif"/>
          <w:b w:val="false"/>
          <w:i/>
          <w:color w:val="000000"/>
          <w:sz w:val="20"/>
        </w:rPr>
        <w:t xml:space="preserve">and </w:t>
      </w:r>
      <w:r>
        <w:rPr>
          <w:color w:val="000000"/>
        </w:rPr>
        <w:t>“</w:t>
      </w:r>
      <w:r>
        <w:rPr>
          <w:rFonts w:ascii="Times New Roman;serif" w:hAnsi="Times New Roman;serif"/>
          <w:b w:val="false"/>
          <w:i/>
          <w:color w:val="000000"/>
          <w:sz w:val="20"/>
        </w:rPr>
        <w:t>BioCryst</w:t>
      </w:r>
      <w:r>
        <w:rPr>
          <w:color w:val="000000"/>
        </w:rPr>
        <w:t xml:space="preserve">” </w:t>
      </w:r>
      <w:r>
        <w:rPr>
          <w:rFonts w:ascii="Times New Roman;serif" w:hAnsi="Times New Roman;serif"/>
          <w:b w:val="false"/>
          <w:i/>
          <w:color w:val="000000"/>
          <w:sz w:val="20"/>
        </w:rPr>
        <w:t xml:space="preserve">refer to BioCryst Pharmaceuticals, Inc. and, where appropriate, its subsidiaries.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Cautionary Note Regarding Forward-Looking Statements </w:t>
      </w:r>
    </w:p>
    <w:p>
      <w:pPr>
        <w:pStyle w:val="TextBody"/>
        <w:bidi w:val="0"/>
        <w:spacing w:lineRule="auto" w:line="288" w:before="200" w:after="283"/>
        <w:ind w:left="0" w:right="0" w:firstLine="540"/>
        <w:jc w:val="left"/>
        <w:rPr/>
      </w:pPr>
      <w:r>
        <w:rPr>
          <w:rFonts w:ascii="Times New Roman;serif" w:hAnsi="Times New Roman;serif"/>
          <w:b w:val="false"/>
          <w:color w:val="000000"/>
          <w:sz w:val="20"/>
        </w:rPr>
        <w:t>This Quarterly Report on Form 10-Q (this “report”) includes forward-looking statements within the meaning of Section 21E of the Securities Exchange Act of 1934, as amended (the “Exchange Act”), which are subject to the “safe harbor” created in Section 21E. In particular, statements about our expectations, beliefs, plans, objectives or assumptions of future events or performance are contained or incorporated by reference in this report. All statements other than statements of historical facts contained herein are forward-looking statements. These forward-looking statements can generally be identified by the use of words such as “may,” “will,” “intends,” “plans,” “believes,” “anticipates,” “expects,” “estimates,” “predicts,” “potential,” the negative of these words or similar expressions. Statements that describe our future plans, strategies, intentions, expectations, objectives, goals or prospects are also forward-looking statements. Discussions containing these forward-looking statements are principally contained in the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sections of this report, as well as any amendments we make to those sections in filings with the U.S. Securities and Exchange Commission (“SEC”). These forward-looking statements include, but are not limited to, statements about: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preclinical development, clinical development, commercialization, or post-marketing studies of our products and product candidates, including ORLADEYO® (berotralstat), navenibart, BCX17725, STAR-0310 and early-stage discovery programs, and our plans and anticipated timing regarding the same;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discovery, acquisition, development, and commercialization of best-in-class and first-in-class medicines;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timing and success of our commercialization of ORLADEYO in the United States and elsewhere and expectations regarding the commercial market for ORLADEYO;</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additional regulatory approvals, or milestones, royalties or profit from sales of our products by us or our partners;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implementation of our business model, strategic plans for our business, products, product candidates and technology;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ability to establish and maintain collaborations or out-license rights to our products and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plans, programs, progress and potential success of our collaborations, including, for example, with Torii Pharmaceutical Co., Ltd. (“Torii”) for ORLADEYO in Japan, Neopharmed Gentili S.p.A., (“Neopharmed”) for ORLADEYO and navenibart in Europe, and Shionogi &amp; Co., Ltd. (“Shionogi”) and Green Cross Corporation (“Green Cross”) for peramivir in their territories;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our and our subsidiary guarantors’ ability to satisfy obligations under and to comply with covenants set forth in connection with the Blackstone Loan Agreement (as defined below);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scope of protection we are able to establish and maintain for intellectual property rights covering our products, product candidates, and technology;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ability to operate our business without infringing the intellectual property rights of others;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estimates of our revenues, expenses, capital requirements, annual cash utilization, and our needs for additional capital or financing;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timing or likelihood of regulatory filings, regulatory agreements, deferrals, approvals, and other decisions;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ability to manage our liquidity needs to fund our operations or repay our recourse debt obligations;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financial performance;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statements and projections regarding financial goals, including profitability or positive cash flow;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competitive companies, technologies, and our industry;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Merger (as defined below) including, but not limited to, our expectations regarding the cost, benefits and expected synergies of the transaction.</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have based any forward-looking statements on our current expectations about future events or performance. While we believe these expectations are reasonable, forward-looking statements are inherently subject to known and unknown risks and uncertainties, many of which are beyond our control. Actual results may differ materially from those suggested or implied by these forward-looking statements for various reasons, including those discussed in this report under the heading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Part II, Item 1A, some of which are summarized in the “</w:t>
      </w:r>
      <w:r>
        <w:rPr>
          <w:rFonts w:ascii="Times New Roman;serif" w:hAnsi="Times New Roman;serif"/>
          <w:b w:val="false"/>
          <w:i/>
          <w:color w:val="000000"/>
          <w:sz w:val="20"/>
        </w:rPr>
        <w:t>Risk Factor Summary</w:t>
      </w:r>
      <w:r>
        <w:rPr>
          <w:color w:val="000000"/>
        </w:rPr>
        <w:t xml:space="preserve">” </w:t>
      </w:r>
      <w:r>
        <w:rPr>
          <w:rFonts w:ascii="Times New Roman;serif" w:hAnsi="Times New Roman;serif"/>
          <w:b w:val="false"/>
          <w:color w:val="000000"/>
          <w:sz w:val="20"/>
        </w:rPr>
        <w:t>below. Any forward-looking statement is subject to these and other risks, uncertainties, and assumptions relating to our operations, results of operations, industry, and future growth. Given these risks and uncertainties, you are cautioned not to place undue reliance on our forward-looking statements. The forward-looking statements included in this report are made only as of the date hereof. We do not undertake, and specifically decline, any obligation to update, revise or correct any of these statements or to publicly announce the results of any such revisions to any forward-looking statements to reflect future events or developments, except as may be required by U.S. federal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Risk Factor Summary </w:t>
      </w:r>
    </w:p>
    <w:p>
      <w:pPr>
        <w:pStyle w:val="TextBody"/>
        <w:bidi w:val="0"/>
        <w:spacing w:lineRule="auto" w:line="288" w:before="200" w:after="283"/>
        <w:ind w:left="0" w:right="0" w:firstLine="540"/>
        <w:jc w:val="left"/>
        <w:rPr/>
      </w:pPr>
      <w:r>
        <w:rPr>
          <w:rFonts w:ascii="Times New Roman;serif" w:hAnsi="Times New Roman;serif"/>
          <w:b w:val="false"/>
          <w:color w:val="000000"/>
          <w:sz w:val="20"/>
        </w:rPr>
        <w:t>An investment in the Company involves risks. You should carefully read this entire report and consider the uncertainties and risks discussed in the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section in Part II, Item 1A of this report, which may adversely affect our business, financial condition, or results of operations, along with the other information included in our other filings with the SEC, before making an investment decision in the Company. A summary of the principal factors that make an investment in the Company speculative or risky is set forth below.</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may not achieve sustained profitability, and we may need to raise additional capital in the future. If we are unable to raise capital or obtain financing if and when needed, we may need to adjust our operations.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If the benefits of the Merger do not meet the expectations of investors or securities analysts, the market price of our common stock may decline. In addition, combining Astria with our business may be more difficult, costly or time consuming than expected and the combined company may fail to realize the anticipated benefits, cost savings and synergies of the Merger.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success depends in part upon our ability to manage our product candidate pipeline, advance our product candidates through the various stages of development, especially through the clinical trial process, and to receive and maintain regulatory approvals for the commercial sale of our product candidates. The development process and related regulatory processes are complex and uncertain, may be lengthy and expensive, and require, among other things, an indication that our products and product candidates are safe and effective. For example, applicable regulatory agencies could refuse to approve, or impose restrictions or warnings on, our product candidates, require us to conduct additional studies or adopt study designs that differ from our planned development strategies, suspend or terminate our clinical trials, withdraw approval for our products, or take other actions that could materially impact the cost, timing, and success of our planned development and commercialization strategies.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rely heavily upon third parties, including development partners, contractors, contract research organizations, and third-party suppliers, manufacturers, specialty pharmacies, and distributors, for many important stages of our product candidate development and in the commercialization of certain of our products and product candidates. Our failure to establish and maintain these relationships, the failure of any such third party to perform its obligations under agreements with us, or the failure of such a relationship to meet our expectations could have a material adverse impact on our business, financial condition, and results of operations.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If the U.S. Food and Drug Administration or comparable foreign regulatory authorities approve generic versions or biosimilars of any of our products that receive marketing approval, the sales of our products could be adversely affected.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commercial viability of any approved product could be compromised if the product is less effective than expected, causes undesirable side effects that either were not previously identified or were worse than expected, or fails to achieve market acceptance by physicians, patients, third-party payors, health authorities, and others.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There can be no assurance that our or our partners’ commercialization efforts, methods, and strategies for our products or technologies will succeed, and our future revenue generation is uncertain.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face intense competition, and if we are unable to compete effectively, the demand for our products may be reduced. In addition, developments by others may render our products, product candidates, or technologies obsolete or noncompetitive.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are subject to various laws and regulations related to our products and product candidates, and if we or our employees, consultants, or partners do not comply with these laws and regulations, we could face substantial penalties, and our reputation could be harmed. In addition, we and our partners may be subject to new legislation, regulatory proposals, and healthcare payor initiatives that may increase our costs of compliance and adversely affect our or our partners’ ability to market our products or develop our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If we fail to adequately protect or enforce our intellectual property rights, the value of those rights would diminish. Legal proceedings to protect or enforce our patents, the patents of our partners, or our other intellectual property rights could be expensive, time-consuming, and unsuccessful. If we fail to secure the rights to patents of others, this could adversely affect our business.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face an inherent risk of liability in the event that the use or misuse of our products or product candidates results in personal injury or death, and our product liability insurance coverage may be insufficient.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If we fail to reach milestones or to make annual minimum payments or otherwise breach our obligations under our license agreements, our licensors may terminate our agreements with them and/or seek additional remedies.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shd w:fill="FFFFFF" w:val="clear"/>
        </w:rPr>
        <w:t>The Blackstone Loan Agreement (as defined below) contains conditions and restrictions that limit our flexibility in operating our business.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International expansion of our business exposes us to business, legal, regulatory, political, operational, financial, and economic risks. For example, our actual or perceived failure to comply with non-U.S. governmental laws and regulations and other obligations related to privacy, data protection, and information security could harm our business.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If our facilities, or the facilities of our third-party vendors, incur damage or power is lost for a significant length of time, our operations will be disrupted, which will adversely affect our business.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Cyber incidents and related disruptions in our or our third-party vendors’ information technology systems, as well as challenges with properly managing or using artificial intelligence, could adversely affect our business.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ability to maintain global brand uniformity for ORLADEYO may be impacted by the sale of our European ORLADEYO business.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business, operations, clinical development or commercialization plans and timelines, and access to capital could be adversely affected by unpredictable and unstable market and economic conditions.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If we fail to retain our existing key personnel, or fail to attract and retain additional key personnel, the development of our product candidates, the commercialization of our products, and the related growth of our business may be delayed or stopped.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Future acquisitions, strategic investments, partnerships, alliances, or divestitures could fail to meet our expectations and/or adversely affect our operating results and financial condition.</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existing principal stockholders hold a substantial amount of our common stock and may be able to influence significant corporate decisions, which may conflict with the interests of other stockholders.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stock price has been, and is likely to continue to be, highly volatile, which could cause the value of an investment in our common stock to decline significantly.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If we fail to maintain effective internal control over financial reporting, we may not be able to produce accurate and timely financial statements, which may adversely affect investor confidence in us and our financial reporting, adversely affect our business and operating results and negatively impact the trading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Natural disasters, epidemic or pandemic disease outbreaks, trade wars, armed conflicts, political unrest, or other events could disrupt our business or operations, or those of our development partners, manufacturers, regulators, or third parties with whom we conduct business now or in the future.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are subject to legal proceedings, which could harm our reputation or result in other losses or unexpected expenditure of time and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BIOCRYST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par value amounts, Unaudited)</w:t>
      </w:r>
    </w:p>
    <w:tbl>
      <w:tblPr>
        <w:tblW w:w="10205" w:type="dxa"/>
        <w:jc w:val="left"/>
        <w:tblInd w:w="0" w:type="dxa"/>
        <w:tblLayout w:type="fixed"/>
        <w:tblCellMar>
          <w:top w:w="28" w:type="dxa"/>
          <w:left w:w="28" w:type="dxa"/>
          <w:bottom w:w="28" w:type="dxa"/>
          <w:right w:w="28" w:type="dxa"/>
        </w:tblCellMar>
      </w:tblPr>
      <w:tblGrid>
        <w:gridCol w:w="2739"/>
        <w:gridCol w:w="2296"/>
        <w:gridCol w:w="2296"/>
        <w:gridCol w:w="221"/>
        <w:gridCol w:w="831"/>
        <w:gridCol w:w="123"/>
        <w:gridCol w:w="109"/>
        <w:gridCol w:w="109"/>
        <w:gridCol w:w="109"/>
        <w:gridCol w:w="247"/>
        <w:gridCol w:w="928"/>
        <w:gridCol w:w="197"/>
      </w:tblGrid>
      <w:tr>
        <w:trPr/>
        <w:tc>
          <w:tcPr>
            <w:tcW w:w="2739"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7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2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171,591 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89,736 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854 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investments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66,809 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185,011 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receivables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109,272 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106,818 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5,985 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5,398 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19,114 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17,182 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373,625 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404,346 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inventory, net</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28,176 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23,990 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9,368 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8,783 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investments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20,569 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61,164 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 of use assets,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13,617 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10,203 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19,697 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5,672 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465,052 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514,158 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Deficit</w:t>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10,958 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15,826 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119,398 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126,413 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liability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16,216 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13,743 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1,312 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Royalty financing obligations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38,455 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195,391 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196,066 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8,571 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1,441 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Royalty financing obligations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407,181 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427,233 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Secured term loan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395,197 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8,831 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1,018,895 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633,311 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deficit:</w:t>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$0.01 par value; shares authorized - 5,000; no shares issued and outstanding at March 31, 2026 and December 31, 2025</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$0.01 par value; shares authorized - 450,000; shares issued and outstanding – 254,014 at March 31, 2026 and 213,060 at December 31, 2025</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2,131 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1,671,976 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1,384,857 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 income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(2,227,991)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(1,506,179)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deficit</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(553,843)</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(119,153)</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deficit</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465,052 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514,158 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BIOCRYST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 Unaudited)</w:t>
      </w:r>
    </w:p>
    <w:tbl>
      <w:tblPr>
        <w:tblW w:w="8110" w:type="dxa"/>
        <w:jc w:val="left"/>
        <w:tblInd w:w="0" w:type="dxa"/>
        <w:tblLayout w:type="fixed"/>
        <w:tblCellMar>
          <w:top w:w="28" w:type="dxa"/>
          <w:left w:w="28" w:type="dxa"/>
          <w:bottom w:w="28" w:type="dxa"/>
          <w:right w:w="28" w:type="dxa"/>
        </w:tblCellMar>
      </w:tblPr>
      <w:tblGrid>
        <w:gridCol w:w="1913"/>
        <w:gridCol w:w="1678"/>
        <w:gridCol w:w="1689"/>
        <w:gridCol w:w="218"/>
        <w:gridCol w:w="932"/>
        <w:gridCol w:w="112"/>
        <w:gridCol w:w="112"/>
        <w:gridCol w:w="112"/>
        <w:gridCol w:w="112"/>
        <w:gridCol w:w="218"/>
        <w:gridCol w:w="855"/>
        <w:gridCol w:w="159"/>
      </w:tblGrid>
      <w:tr>
        <w:trPr/>
        <w:tc>
          <w:tcPr>
            <w:tcW w:w="1913"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1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151,401 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143,787 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and other revenues</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156,413 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145,534 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in-process research and development</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697,761 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858,011 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124,307 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(701,598)</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21,227 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(losses) gains, net</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(720,808)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(721,812)</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available for sale investments</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w:t>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comprehensive (loss) income</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(722,218)</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common share: basic</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basic</w:t>
            </w:r>
          </w:p>
        </w:tc>
        <w:tc>
          <w:tcPr>
            <w:tcW w:w="11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242,258 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208,882 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common share: diluted</w:t>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diluted</w:t>
            </w:r>
          </w:p>
        </w:tc>
        <w:tc>
          <w:tcPr>
            <w:tcW w:w="115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242,258 </w:t>
            </w:r>
          </w:p>
        </w:tc>
        <w:tc>
          <w:tcPr>
            <w:tcW w:w="1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215,261 </w:t>
            </w:r>
          </w:p>
        </w:tc>
        <w:tc>
          <w:tcPr>
            <w:tcW w:w="1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BIOCRYST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8303" w:type="dxa"/>
        <w:jc w:val="center"/>
        <w:tblInd w:w="0" w:type="dxa"/>
        <w:tblLayout w:type="fixed"/>
        <w:tblCellMar>
          <w:top w:w="28" w:type="dxa"/>
          <w:left w:w="28" w:type="dxa"/>
          <w:bottom w:w="28" w:type="dxa"/>
          <w:right w:w="28" w:type="dxa"/>
        </w:tblCellMar>
      </w:tblPr>
      <w:tblGrid>
        <w:gridCol w:w="2090"/>
        <w:gridCol w:w="1839"/>
        <w:gridCol w:w="1845"/>
        <w:gridCol w:w="196"/>
        <w:gridCol w:w="811"/>
        <w:gridCol w:w="109"/>
        <w:gridCol w:w="109"/>
        <w:gridCol w:w="109"/>
        <w:gridCol w:w="109"/>
        <w:gridCol w:w="196"/>
        <w:gridCol w:w="736"/>
        <w:gridCol w:w="154"/>
      </w:tblGrid>
      <w:tr>
        <w:trPr/>
        <w:tc>
          <w:tcPr>
            <w:tcW w:w="2090"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(721,812)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income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Acquired in-process research and development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697,761 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assembled workforce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 obsolescence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adjustment on share-based liability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interest expense on royalty financing obligations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 on term loans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premium (discount) on investments,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in receivables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in inventory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(increase) in prepaid expenses and 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 royalty financing obligations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 accounts payable and accrued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 deferred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used in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(61,791)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(27,517)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maturities of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221,235 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Astria Therapeutics, Inc., net of cash acquired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(489,480)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(used in) provided by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(268,648)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27,095 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proceeds from common stock issued under stock-based compensation plans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Withholding taxes paid on stock-based awards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to directors in lieu of cash retainer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term loan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debt issuance costs on term loan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royalty financing obligations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finance lease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412,552 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rates on cash, cash equivalents and restricted cash</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increase in cash, and cash equivalents, and restricted cash</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82,041 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91,337 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106,323 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173,378 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106,881 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cash, cash equivalents and restricted cash:</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171,591 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in other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173,378 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106,881 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tbl>
      <w:tblPr>
        <w:tblW w:w="7478" w:type="dxa"/>
        <w:jc w:val="center"/>
        <w:tblInd w:w="0" w:type="dxa"/>
        <w:tblLayout w:type="fixed"/>
        <w:tblCellMar>
          <w:top w:w="28" w:type="dxa"/>
          <w:left w:w="28" w:type="dxa"/>
          <w:bottom w:w="28" w:type="dxa"/>
          <w:right w:w="28" w:type="dxa"/>
        </w:tblCellMar>
      </w:tblPr>
      <w:tblGrid>
        <w:gridCol w:w="1886"/>
        <w:gridCol w:w="1657"/>
        <w:gridCol w:w="1661"/>
        <w:gridCol w:w="196"/>
        <w:gridCol w:w="736"/>
        <w:gridCol w:w="109"/>
        <w:gridCol w:w="109"/>
        <w:gridCol w:w="109"/>
        <w:gridCol w:w="109"/>
        <w:gridCol w:w="196"/>
        <w:gridCol w:w="556"/>
        <w:gridCol w:w="154"/>
      </w:tblGrid>
      <w:tr>
        <w:trPr/>
        <w:tc>
          <w:tcPr>
            <w:tcW w:w="1886"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cash flow disclosure: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the acquisition of Astria Therapeutics, Inc.</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251,655 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taxes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withheld on stock-based awards included in accrued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software costs included in accrued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BIOCRYST PHARMACEUTICALS, INC. </w:t>
      </w:r>
    </w:p>
    <w:p>
      <w:pPr>
        <w:pStyle w:val="TextBody"/>
        <w:bidi w:val="0"/>
        <w:spacing w:lineRule="auto" w:line="288" w:before="0" w:after="0"/>
        <w:jc w:val="center"/>
        <w:rPr/>
      </w:pPr>
      <w:r>
        <w:rPr>
          <w:rFonts w:ascii="Times New Roman;serif" w:hAnsi="Times New Roman;serif"/>
          <w:b/>
          <w:color w:val="000000"/>
          <w:sz w:val="20"/>
        </w:rPr>
        <w:t>CONDENSED CONSOLIDATED STATEMENTS OF STOCKHOLDERS</w:t>
      </w:r>
      <w:r>
        <w:rPr>
          <w:color w:val="000000"/>
        </w:rPr>
        <w:t xml:space="preserve">’ </w:t>
      </w:r>
      <w:r>
        <w:rPr>
          <w:rFonts w:ascii="Times New Roman;serif" w:hAnsi="Times New Roman;serif"/>
          <w:b/>
          <w:color w:val="000000"/>
          <w:sz w:val="20"/>
        </w:rPr>
        <w:t>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10205" w:type="dxa"/>
        <w:jc w:val="left"/>
        <w:tblInd w:w="0" w:type="dxa"/>
        <w:tblLayout w:type="fixed"/>
        <w:tblCellMar>
          <w:top w:w="28" w:type="dxa"/>
          <w:left w:w="28" w:type="dxa"/>
          <w:bottom w:w="28" w:type="dxa"/>
          <w:right w:w="28" w:type="dxa"/>
        </w:tblCellMar>
      </w:tblPr>
      <w:tblGrid>
        <w:gridCol w:w="856"/>
        <w:gridCol w:w="480"/>
        <w:gridCol w:w="482"/>
        <w:gridCol w:w="375"/>
        <w:gridCol w:w="376"/>
        <w:gridCol w:w="211"/>
        <w:gridCol w:w="109"/>
        <w:gridCol w:w="109"/>
        <w:gridCol w:w="109"/>
        <w:gridCol w:w="196"/>
        <w:gridCol w:w="571"/>
        <w:gridCol w:w="109"/>
        <w:gridCol w:w="109"/>
        <w:gridCol w:w="109"/>
        <w:gridCol w:w="109"/>
        <w:gridCol w:w="196"/>
        <w:gridCol w:w="886"/>
        <w:gridCol w:w="109"/>
        <w:gridCol w:w="109"/>
        <w:gridCol w:w="109"/>
        <w:gridCol w:w="109"/>
        <w:gridCol w:w="345"/>
        <w:gridCol w:w="768"/>
        <w:gridCol w:w="193"/>
        <w:gridCol w:w="109"/>
        <w:gridCol w:w="109"/>
        <w:gridCol w:w="109"/>
        <w:gridCol w:w="196"/>
        <w:gridCol w:w="894"/>
        <w:gridCol w:w="109"/>
        <w:gridCol w:w="109"/>
        <w:gridCol w:w="109"/>
        <w:gridCol w:w="109"/>
        <w:gridCol w:w="216"/>
        <w:gridCol w:w="829"/>
        <w:gridCol w:w="173"/>
      </w:tblGrid>
      <w:tr>
        <w:trPr/>
        <w:tc>
          <w:tcPr>
            <w:tcW w:w="85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Deficit</w:t>
            </w:r>
          </w:p>
        </w:tc>
      </w:tr>
      <w:tr>
        <w:trPr/>
        <w:tc>
          <w:tcPr>
            <w:tcW w:w="1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213,060</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1,384,857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w:t>
            </w: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(1,506,179)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(119,153)</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(721,812)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(721,812)</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stock purchase plan sales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shares to directors in lieu of cash retainer</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Remeasurement of share-based liability</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share-based liability</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the acquisition of Astria Therapeutics, Inc.</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37,282 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251,655 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254,014</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2,540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1,671,976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(368)</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(2,227,991)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(553,843)</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12"/>
        <w:gridCol w:w="501"/>
        <w:gridCol w:w="502"/>
        <w:gridCol w:w="375"/>
        <w:gridCol w:w="376"/>
        <w:gridCol w:w="211"/>
        <w:gridCol w:w="109"/>
        <w:gridCol w:w="109"/>
        <w:gridCol w:w="109"/>
        <w:gridCol w:w="196"/>
        <w:gridCol w:w="571"/>
        <w:gridCol w:w="109"/>
        <w:gridCol w:w="109"/>
        <w:gridCol w:w="109"/>
        <w:gridCol w:w="109"/>
        <w:gridCol w:w="196"/>
        <w:gridCol w:w="886"/>
        <w:gridCol w:w="109"/>
        <w:gridCol w:w="109"/>
        <w:gridCol w:w="109"/>
        <w:gridCol w:w="109"/>
        <w:gridCol w:w="292"/>
        <w:gridCol w:w="851"/>
        <w:gridCol w:w="163"/>
        <w:gridCol w:w="109"/>
        <w:gridCol w:w="109"/>
        <w:gridCol w:w="109"/>
        <w:gridCol w:w="196"/>
        <w:gridCol w:w="897"/>
        <w:gridCol w:w="109"/>
        <w:gridCol w:w="109"/>
        <w:gridCol w:w="109"/>
        <w:gridCol w:w="109"/>
        <w:gridCol w:w="216"/>
        <w:gridCol w:w="829"/>
        <w:gridCol w:w="173"/>
      </w:tblGrid>
      <w:tr>
        <w:trPr/>
        <w:tc>
          <w:tcPr>
            <w:tcW w:w="81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Deficit</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208,543</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1,291,100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921</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(1,770,040)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(475,934)</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taxes for vesting of restricted stock units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stock purchase plan sales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shares to directors in lieu of cash retainer</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209,208</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2,092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1,314,857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1,132</w:t>
            </w: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(1,770,008)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(451,927)</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BIOCRYST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00" w:after="283"/>
        <w:jc w:val="left"/>
        <w:rPr/>
      </w:pPr>
      <w:r>
        <w:rPr>
          <w:rFonts w:ascii="Times New Roman;serif" w:hAnsi="Times New Roman;serif"/>
          <w:b/>
          <w:color w:val="000000"/>
          <w:sz w:val="20"/>
        </w:rPr>
        <w:t xml:space="preserve">Note 1 </w:t>
      </w:r>
      <w:r>
        <w:rPr>
          <w:color w:val="000000"/>
        </w:rPr>
        <w:t xml:space="preserve">— </w:t>
      </w:r>
      <w:r>
        <w:rPr>
          <w:rFonts w:ascii="Times New Roman;serif" w:hAnsi="Times New Roman;serif"/>
          <w:b/>
          <w:color w:val="000000"/>
          <w:sz w:val="20"/>
        </w:rPr>
        <w:t>Significant Accounting Policies and Concentrations of Risk</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 Company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BioCryst Pharmaceuticals, Inc. (the “Company”) is a global biotechnology company focused on developing and commercializing medicines for hereditary angioedema (“HAE”) and other rare diseases, driven by the Company’s deep commitment to improving the lives of people living with these conditions. The Company has built an established commercial infrastructure supporting ORLADEYO®, an oral, once-daily therapy discovered and developed internally for the prevention of HAE attacks, and is advancing a pipeline of potential first-in-class or best-in-class oral small-molecule and injectable protein therapeutics for a range of rare diseases. The Company was founded in 1986 and incorporated in Delaware in 1991, and its headquarters is located in Durham, North Carolina.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marketed products include ORLADEYO® for the prevention of HAE attacks and RAPIVAB® (peramivir injection) for the treatment of acute uncomplicated influenza in the United States. ORLADEYO has received regulatory approval in the United States and other global markets. The Company is commercializing ORLADEYO in each of these territories directly or through other parties. In addition to its approval in the United States, peramivir injection has received regulatory approvals in Canada (RAPIVAB), Australia (RAPIVAB), Japan (RAPIACTA), Taiwan (RAPIACTA) and Korea (PERAMIFLU).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on the Company’s expectations for revenue and operating expenses, the Company believes its financial resources available at March 31, 2026 will be sufficient to fund its operations for at least the next 12 months. The Company may, in the future, issue securities, including common stock, preferred stock, depositary shares, purchase contracts, warrants, debt securities and units, through private placement transactions or registered public offerings. The Company’s future liquidity needs, and ability to address those needs, will largely be determined by the success of its products and product candidates; the success of its business development efforts; the timing, scope and magnitude of its research and development and commercial expenses; and key developments and regulatory events and its decisions in the future.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unaudited condensed consolidated financial statements have been prepared in accordance with U.S. generally accepted accounting principles (“U.S. GAAP”) for interim financial reporting and the instructions to Form 10-Q and do not include all of the information and footnotes required by U.S. GAAP for complete financial statements. Such financial statements reflect all adjustments that are, in management’s opinion, necessary to present fairly, in all material respects, the Company’s condensed consolidated financial position, results of operations, and cash flows. There were no adjustments other than normal recurring adjustments. Certain prior year amounts have been reclassified to conform to the current year presentation. </w:t>
      </w:r>
    </w:p>
    <w:p>
      <w:pPr>
        <w:pStyle w:val="TextBody"/>
        <w:bidi w:val="0"/>
        <w:spacing w:lineRule="auto" w:line="288" w:before="200" w:after="283"/>
        <w:ind w:left="0" w:right="0" w:firstLine="540"/>
        <w:jc w:val="left"/>
        <w:rPr/>
      </w:pPr>
      <w:r>
        <w:rPr>
          <w:rFonts w:ascii="Times New Roman;serif" w:hAnsi="Times New Roman;serif"/>
          <w:b w:val="false"/>
          <w:color w:val="000000"/>
          <w:sz w:val="20"/>
        </w:rPr>
        <w:t>The condensed consolidated financial statements include the accounts of the Company and its wholly owned subsidiaries including Astria Therapeutics Inc., which was acquired by the Company on January 23, 2026 (See “</w:t>
      </w:r>
      <w:r>
        <w:rPr>
          <w:rFonts w:ascii="Times New Roman;serif" w:hAnsi="Times New Roman;serif"/>
          <w:b w:val="false"/>
          <w:i/>
          <w:color w:val="000000"/>
          <w:sz w:val="20"/>
        </w:rPr>
        <w:t>Note 2—Acquisition of Astria Therapeutics, Inc.</w:t>
      </w:r>
      <w:r>
        <w:rPr>
          <w:color w:val="000000"/>
        </w:rPr>
        <w:t>”</w:t>
      </w:r>
      <w:r>
        <w:rPr>
          <w:rFonts w:ascii="Times New Roman;serif" w:hAnsi="Times New Roman;serif"/>
          <w:b w:val="false"/>
          <w:color w:val="000000"/>
          <w:sz w:val="20"/>
        </w:rPr>
        <w:t>). All intercompany transactions and balances among the consolidated entities have been eliminated from the condensed consolidated financial statements. The Company operates and manages its business as one reportable and operating segment (see “</w:t>
      </w:r>
      <w:r>
        <w:rPr>
          <w:rFonts w:ascii="Times New Roman;serif" w:hAnsi="Times New Roman;serif"/>
          <w:b w:val="false"/>
          <w:i/>
          <w:color w:val="000000"/>
          <w:sz w:val="20"/>
        </w:rPr>
        <w:t>Note 14—Segment Information</w:t>
      </w:r>
      <w:r>
        <w:rPr>
          <w:color w:val="000000"/>
        </w:rPr>
        <w:t>”</w:t>
      </w:r>
      <w:r>
        <w:rPr>
          <w:rFonts w:ascii="Times New Roman;serif" w:hAnsi="Times New Roman;serif"/>
          <w:b w:val="false"/>
          <w:color w:val="000000"/>
          <w:sz w:val="20"/>
        </w:rPr>
        <w: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should be read in conjunction with the audited consolidated financial statements for the fiscal year ended December 31, 2025 and the notes thereto included in the Company’s 2025 Annual Report on Form 10-K as filed with the Securities and Exchange Commission (the “SEC”) on February 26, 2026. Interim operating results are not necessarily indicative of operating results for the full fiscal year. The condensed consolidated balance sheet as of December 31, 2025 was derived from the audited consolidated financial statements included in the Company’s most recent Annual Report on Form 10-K.</w:t>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Sale of European ORLADEYO Business</w:t>
      </w:r>
    </w:p>
    <w:p>
      <w:pPr>
        <w:pStyle w:val="TextBody"/>
        <w:bidi w:val="0"/>
        <w:spacing w:lineRule="auto" w:line="288" w:before="240" w:after="283"/>
        <w:ind w:left="0" w:right="0" w:firstLine="540"/>
        <w:jc w:val="left"/>
        <w:rPr/>
      </w:pPr>
      <w:r>
        <w:rPr>
          <w:rFonts w:ascii="Times New Roman;serif" w:hAnsi="Times New Roman;serif"/>
          <w:b w:val="false"/>
          <w:color w:val="000000"/>
          <w:sz w:val="20"/>
        </w:rPr>
        <w:t>On June 27, 2025, the Company entered into a stock purchase agreement (the “Stock Purchase Agreement”) with BioCryst Ireland Limited (“BioCryst Ireland”) and Neopharmed Gentili S.p.A., (“Neopharmed”). On October 1, 2025, the Company sold to Neopharmed all of its equity interests in BioCryst Ireland, which, together with its subsidiaries, holds certain assets, rights, and employees related to the European ORLADEYO business. The Company and BioCryst Ireland also amended and restated their existing intellectual property licence agreement, pursuant to which the Company is entitled to receive quarterly royalty payments from BioCryst Ireland equal to amounts owed under its Royalty Purchase Agreements with RPI and OMERS for the sale of ORLADEYO products in the Territory, as defined in the Stock Purchase Agreement (See “</w:t>
      </w:r>
      <w:r>
        <w:rPr>
          <w:rFonts w:ascii="Times New Roman;serif" w:hAnsi="Times New Roman;serif"/>
          <w:b w:val="false"/>
          <w:i/>
          <w:color w:val="000000"/>
          <w:sz w:val="20"/>
        </w:rPr>
        <w:t xml:space="preserve">Note 7—Royalty Financing Obligations”). </w:t>
      </w:r>
      <w:r>
        <w:rPr>
          <w:rFonts w:ascii="Times New Roman;serif" w:hAnsi="Times New Roman;serif"/>
          <w:b w:val="false"/>
          <w:color w:val="000000"/>
          <w:sz w:val="20"/>
        </w:rPr>
        <w:t>The condensed consolidated financial statements as of and for the three months ended March 31, 2025 include the accounts of BioCryst Ireland, which was a wholly owned subsidiary of the Company prior to October 1, 2025.</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conformity with U.S. GAAP requires management to make estimates and assumptions that affect the reported amounts of assets, liabilities, revenues and expenses, and related disclosure of contingent assets and liabilities. Actual results could differ from those estimates.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recorded the following revenues for the three months ended March 31, 2026 and 2025:</w:t>
      </w:r>
    </w:p>
    <w:tbl>
      <w:tblPr>
        <w:tblW w:w="5651" w:type="dxa"/>
        <w:jc w:val="left"/>
        <w:tblInd w:w="0" w:type="dxa"/>
        <w:tblLayout w:type="fixed"/>
        <w:tblCellMar>
          <w:top w:w="28" w:type="dxa"/>
          <w:left w:w="28" w:type="dxa"/>
          <w:bottom w:w="28" w:type="dxa"/>
          <w:right w:w="28" w:type="dxa"/>
        </w:tblCellMar>
      </w:tblPr>
      <w:tblGrid>
        <w:gridCol w:w="1021"/>
        <w:gridCol w:w="897"/>
        <w:gridCol w:w="901"/>
        <w:gridCol w:w="222"/>
        <w:gridCol w:w="885"/>
        <w:gridCol w:w="114"/>
        <w:gridCol w:w="114"/>
        <w:gridCol w:w="114"/>
        <w:gridCol w:w="114"/>
        <w:gridCol w:w="222"/>
        <w:gridCol w:w="885"/>
        <w:gridCol w:w="162"/>
      </w:tblGrid>
      <w:tr>
        <w:trPr/>
        <w:tc>
          <w:tcPr>
            <w:tcW w:w="10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151,401 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143,787 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revenue</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Collaborative and other revenues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156,413</w:t>
            </w:r>
            <w:r>
              <w:rPr>
                <w:color w:val="000000"/>
              </w:rPr>
              <w:t>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145,534</w:t>
            </w:r>
            <w:r>
              <w:rPr>
                <w:color w:val="000000"/>
              </w:rPr>
              <w:t> </w:t>
            </w:r>
          </w:p>
        </w:tc>
        <w:tc>
          <w:tcPr>
            <w:tcW w:w="1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Pursuant to Accounting Standards Codification (“ASC”)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(“Topic 606”), the Company recognizes revenue to depict the transfer of promised goods or services to customers in an amount that reflects the consideration to which the entity expects to be entitled in exchange for those goods or services. To achieve this core principle, Topic 606 includes provisions within a five-step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At contract inception, the Company identifies the goods or services promised within each contract, assesses whether each promised good or service is distinct and determines those that are performance obligations. The Company recognizes as revenue the amount of the transaction price that is allocated to the respective performance obligation when, or as, the performance obligation is satisfied.</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Product Sales, Net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sources of product sales are sales of ORLADEYO and peramivir (RAPIVAB/RAPIACTA/PERAMIFLU). The Company generally ships ORLADEYO directly to patients through a single specialty pharmacy in the United States and through specialty distributors outside of the United States, which are considered its customers. The Company generally sells peramivir to its licensing partners, hospitals, and, in 2025, to the U.S. Department of Health and Human Services.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revenue when the customer obtains control of the product, which generally occurs upon delivery.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Net revenue from sales of ORLADEYO is recorded at net selling price (transaction price), which includes reserves for variable consideration such as (i) estimated government rebates, including Medicaid and Medicare Part D reimbursements, and estimated managed care rebates, (ii) estimated chargebacks, (iii) estimated costs of co-payment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assistance programs and (iv) product returns. These reserves, representing the Company’s best estimates of the amount of consideration to which it is entitled based on the terms of the applicable contracts and statutory requirements, are based on the amounts earned or to be claimed on the related sales and are classified as reductions of accounts receivable if no payments are required of the Company or a current liability if a payment is required of the Company. Actual amounts of consideration may differ from the Company’s estimates. Any differences are recognized as adjustments to net product revenue and earnings in the period such variances become known.</w:t>
      </w:r>
    </w:p>
    <w:p>
      <w:pPr>
        <w:pStyle w:val="TextBody"/>
        <w:bidi w:val="0"/>
        <w:spacing w:lineRule="auto" w:line="288" w:before="200" w:after="283"/>
        <w:ind w:left="0" w:right="0" w:firstLine="540"/>
        <w:jc w:val="left"/>
        <w:rPr/>
      </w:pPr>
      <w:r>
        <w:rPr>
          <w:rFonts w:ascii="Times New Roman;serif" w:hAnsi="Times New Roman;serif"/>
          <w:b w:val="false"/>
          <w:i/>
          <w:color w:val="000000"/>
          <w:sz w:val="20"/>
        </w:rPr>
        <w:t>Government and Managed Care Rebates</w:t>
      </w:r>
      <w:r>
        <w:rPr>
          <w:rFonts w:ascii="Times New Roman;serif" w:hAnsi="Times New Roman;serif"/>
          <w:b w:val="false"/>
          <w:color w:val="000000"/>
          <w:sz w:val="20"/>
        </w:rPr>
        <w:t>. The Company contracts with group purchasing organizations associated with managed care organizations and participates in certain government programs, collectively, third-party payors, so that ORLADEYO will be eligible for purchase by, or partial or full reimbursement from, such third-party payors. The Company estimates the rebates it will provide to third-party payors and deducts these estimated amounts from total gross product revenues at the time the revenues are recognized, resulting in a reduction of product revenue and the establishment of a current liability. The Company estimates the rebates that it will provide to third-party payors based upon (i) the Company’s contracts with these third-party payors, (ii) the contractually mandated discounts applicable to the programs, and (iii) product distribution information obtained from the Company’s specialty pharmacy regarding payor mix.</w:t>
      </w:r>
    </w:p>
    <w:p>
      <w:pPr>
        <w:pStyle w:val="TextBody"/>
        <w:bidi w:val="0"/>
        <w:spacing w:lineRule="auto" w:line="288" w:before="200" w:after="283"/>
        <w:ind w:left="0" w:right="0" w:firstLine="540"/>
        <w:jc w:val="left"/>
        <w:rPr/>
      </w:pPr>
      <w:r>
        <w:rPr>
          <w:rFonts w:ascii="Times New Roman;serif" w:hAnsi="Times New Roman;serif"/>
          <w:b w:val="false"/>
          <w:i/>
          <w:color w:val="000000"/>
          <w:sz w:val="20"/>
        </w:rPr>
        <w:t>Chargebacks</w:t>
      </w:r>
      <w:r>
        <w:rPr>
          <w:rFonts w:ascii="Times New Roman;serif" w:hAnsi="Times New Roman;serif"/>
          <w:b w:val="false"/>
          <w:color w:val="000000"/>
          <w:sz w:val="20"/>
        </w:rPr>
        <w:t>. Chargebacks are discounts that occur when certain contracted customers, pharmacy benefit managers, insurance companies, and government programs purchase directly from the Company’s specialty pharmacy. These customers purchase the Company’s product under contracts negotiated between them and the Company’s specialty pharmacy. The specialty pharmacy, in turn, charges back to the Company the difference between the price that the specialty pharmacy paid and the negotiated price paid by the contracted customers, which may be higher or lower than the specialty pharmacy’s purchase price with the Company. The Company estimates chargebacks and adjusts gross product revenues and establishes a current liability at the time revenues are recognized.</w:t>
      </w:r>
    </w:p>
    <w:p>
      <w:pPr>
        <w:pStyle w:val="TextBody"/>
        <w:bidi w:val="0"/>
        <w:spacing w:lineRule="auto" w:line="288" w:before="200" w:after="283"/>
        <w:ind w:left="0" w:right="0" w:firstLine="540"/>
        <w:jc w:val="left"/>
        <w:rPr/>
      </w:pPr>
      <w:r>
        <w:rPr>
          <w:rFonts w:ascii="Times New Roman;serif" w:hAnsi="Times New Roman;serif"/>
          <w:b w:val="false"/>
          <w:i/>
          <w:color w:val="000000"/>
          <w:sz w:val="20"/>
        </w:rPr>
        <w:t>Co-payment assistance programs</w:t>
      </w:r>
      <w:r>
        <w:rPr>
          <w:rFonts w:ascii="Times New Roman;serif" w:hAnsi="Times New Roman;serif"/>
          <w:b w:val="false"/>
          <w:color w:val="000000"/>
          <w:sz w:val="20"/>
        </w:rPr>
        <w:t xml:space="preserve">. Patients who have commercial insurance and meet certain eligibility requirements may receive co-payment assistance. Based upon the terms of the program and co-payment assistance utilization reports received from the specialty pharmacy, the Company estimates the co-payment assistance amounts, which are recorded in the same period in which the related revenue is recognized, resulting in a reduction of product revenue and establishment of a current liability. </w:t>
      </w:r>
    </w:p>
    <w:p>
      <w:pPr>
        <w:pStyle w:val="TextBody"/>
        <w:bidi w:val="0"/>
        <w:spacing w:lineRule="auto" w:line="288" w:before="200" w:after="283"/>
        <w:ind w:left="0" w:right="0" w:firstLine="540"/>
        <w:jc w:val="left"/>
        <w:rPr/>
      </w:pPr>
      <w:r>
        <w:rPr>
          <w:rFonts w:ascii="Times New Roman;serif" w:hAnsi="Times New Roman;serif"/>
          <w:b w:val="false"/>
          <w:i/>
          <w:color w:val="000000"/>
          <w:sz w:val="20"/>
        </w:rPr>
        <w:t xml:space="preserve">Patient assistance programs. </w:t>
      </w:r>
      <w:r>
        <w:rPr>
          <w:rFonts w:ascii="Times New Roman;serif" w:hAnsi="Times New Roman;serif"/>
          <w:b w:val="false"/>
          <w:color w:val="000000"/>
          <w:sz w:val="20"/>
        </w:rPr>
        <w:t>The Company offers a patient assistance program that provides free drug product, for a limited period of time, to allow a patient’s insurance coverage to be established. Based on patient assistance program utilization reports provided by the specialty pharmacy, the Company records gross revenue of the product provided and a full reduction of the revenue amount for the free drug discount.</w:t>
      </w:r>
    </w:p>
    <w:p>
      <w:pPr>
        <w:pStyle w:val="TextBody"/>
        <w:bidi w:val="0"/>
        <w:spacing w:lineRule="auto" w:line="288" w:before="200" w:after="283"/>
        <w:ind w:left="0" w:right="0" w:firstLine="540"/>
        <w:jc w:val="left"/>
        <w:rPr/>
      </w:pPr>
      <w:r>
        <w:rPr>
          <w:rFonts w:ascii="Times New Roman;serif" w:hAnsi="Times New Roman;serif"/>
          <w:b w:val="false"/>
          <w:i/>
          <w:color w:val="000000"/>
          <w:sz w:val="20"/>
        </w:rPr>
        <w:t>Product returns</w:t>
      </w:r>
      <w:r>
        <w:rPr>
          <w:rFonts w:ascii="Times New Roman;serif" w:hAnsi="Times New Roman;serif"/>
          <w:b w:val="false"/>
          <w:color w:val="000000"/>
          <w:sz w:val="20"/>
        </w:rPr>
        <w:t>. The Company does not provide contractual return rights to its customers, except in instances where the product is damaged or defective. 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License and Collaborative and Other Revenues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collaboration and license agreements with a number of third parties. The terms of the agreements typically include one or more of the following: upfront license fees; development, regulatory and sales-based milestone payments; and royalties on net sales of licensed products. For agreements with multiple performance obligations, revenue is allocated to each performance obligation based on its relative standalone selling price. The Company uses judgment to identify performance obligations and determine whether variable consideration should be included in the transaction price.</w:t>
      </w:r>
    </w:p>
    <w:p>
      <w:pPr>
        <w:pStyle w:val="TextBody"/>
        <w:bidi w:val="0"/>
        <w:spacing w:lineRule="auto" w:line="288" w:before="200" w:after="283"/>
        <w:ind w:left="0" w:right="0" w:firstLine="540"/>
        <w:jc w:val="left"/>
        <w:rPr/>
      </w:pPr>
      <w:r>
        <w:rPr>
          <w:rFonts w:ascii="Times New Roman;serif" w:hAnsi="Times New Roman;serif"/>
          <w:b w:val="false"/>
          <w:i/>
          <w:color w:val="000000"/>
          <w:sz w:val="20"/>
        </w:rPr>
        <w:t xml:space="preserve">Upfront license fees. </w:t>
      </w:r>
      <w:r>
        <w:rPr>
          <w:rFonts w:ascii="Times New Roman;serif" w:hAnsi="Times New Roman;serif"/>
          <w:b w:val="false"/>
          <w:color w:val="000000"/>
          <w:sz w:val="20"/>
        </w:rPr>
        <w:t>Arrangements that include upfront payments may require deferral of revenue recognition to a future period until obligations under such arrangements are fulfilled. If the license to the Company’s intellectual property is determined to be distinct from the other performance obligations identified in the arrangement, the Company recognizes revenue from upfront license fees allocated to the license when the license is transferred to the customer and the customer is able to use and benefit from the license. For agreements with multiple performance obligations, the Company develops assumptions that require judgment to determine the standalone selling price for each performance obligation, the determination of the transaction price, and the application of the constraints. The Company re-evaluates the transaction price at each reporting period and adjusts the estimate as changes in circumstances occur. The Company determines whether the performance obligations are satisfied over time or at a point in time and, if over time, determines the appropriate method of measuring progress for purposes of recognizing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pPr>
      <w:r>
        <w:rPr>
          <w:rFonts w:ascii="Times New Roman;serif" w:hAnsi="Times New Roman;serif"/>
          <w:b w:val="false"/>
          <w:i/>
          <w:color w:val="000000"/>
          <w:sz w:val="20"/>
        </w:rPr>
        <w:t xml:space="preserve">Development, regulatory or commercial milestone payments. </w:t>
      </w:r>
      <w:r>
        <w:rPr>
          <w:rFonts w:ascii="Times New Roman;serif" w:hAnsi="Times New Roman;serif"/>
          <w:b w:val="false"/>
          <w:color w:val="000000"/>
          <w:sz w:val="20"/>
        </w:rPr>
        <w:t>At the inception of each arrangement that includes payments based on the achievement of certain development, regulatory and commercial events,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customer’s control are not considered probable until the milestone is achieved. Each subsequent reporting period, the Company re-evaluates the probability of achieving such development and regulatory milestones and any related constraint, and if necessary, adjusts the Company’s estimate of the overall transaction price. Any such adjustments are recorded on a cumulative catch-up basis and recognized as revenue during the period of adjustment.</w:t>
      </w:r>
    </w:p>
    <w:p>
      <w:pPr>
        <w:pStyle w:val="TextBody"/>
        <w:bidi w:val="0"/>
        <w:spacing w:lineRule="auto" w:line="276" w:before="240" w:after="283"/>
        <w:ind w:left="0" w:right="0" w:firstLine="540"/>
        <w:jc w:val="left"/>
        <w:rPr/>
      </w:pPr>
      <w:r>
        <w:rPr>
          <w:rFonts w:ascii="Times New Roman;serif" w:hAnsi="Times New Roman;serif"/>
          <w:b w:val="false"/>
          <w:i/>
          <w:color w:val="000000"/>
          <w:sz w:val="20"/>
        </w:rPr>
        <w:t>Sales-based milestone payments and royalties.</w:t>
      </w:r>
      <w:r>
        <w:rPr>
          <w:color w:val="000000"/>
        </w:rPr>
        <w:t xml:space="preserve"> </w:t>
      </w:r>
      <w:r>
        <w:rPr>
          <w:rFonts w:ascii="Times New Roman;serif" w:hAnsi="Times New Roman;serif"/>
          <w:b w:val="false"/>
          <w:color w:val="000000"/>
          <w:sz w:val="20"/>
        </w:rPr>
        <w:t>For arrangements that include sales-based royalties, including milestone payments based on the volume of sales, the Company determines whether the license is deemed to be the predominant item to which the royalties or sales-based milestones relate and if such is the case, the Company recognizes revenue at the later of (i) when the related sales occur, or (ii) when the performance obligation to which some or all of the royalty has been allocated has been satisfied (or partially satisfied).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considers cash equivalents to be highly liquid investments with maturities of three months or less from the date of purchase.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Total restricted cash was $1,787 and $1,601 as of March 31, 2026 and December 31, 2025, respectively, and primarily consisted of $1,400 as of March 31, 2026 and December 31, 2025, for a letter of credit the Company is required to maintain associated with its Birmingham lease. The long-term portion of the letter of credit associated with the Birmingham lease of $933 and $1,400 as of March 31, 2026 and December 31, 2025, respectively, is reflected within other assets in the Condensed Consolidated Balance Sheets.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invests in high credit quality investments in accordance with its investment policy. The objectives of the Company’s investment policy are to eliminate or greatly minimize the probability of a loss of principal value, maintain sufficient liquidity to meet cash flow requirements, and earn a competitive level of return. The Company places its excess cash with high credit quality financial institutions to limit the amount of its credit exposure. In accordance with its policy, the Company is able to invest in marketable debt securities that may consist of U.S. Treasury obligations, U.S government agency securities, money market funds, certificates of deposits and corporate notes and bonds. The Company’s investment policy requires it to purchase high-quality marketable securities with a maximum individual maturity of two years and requires an average portfolio maturity of no more than 12 months. Some of the securities in which the Company invests may have market risk. This means that a change in prevailing interest rates may cause the principal amount of the investment to fluctuate. To minimize this risk, the Company schedules its investments with maturities that coincide with expected cash flow needs, thus avoiding the need to redeem an investment prior to its maturity date. Accordingly, the Company does not believe it has a material exposure to interest rate risk arising from its investments. The Company has not realized any significant losses from its investments.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classifies all of its investments as available-for-sale. Available-for-sale investments are reported at fair value at each balance sheet date, and include any unrealized holding gains and losses in accumulated other comprehensive (loss) income, unless an unrealized loss is considered to be other than temporary, in which case the unrealized loss is charged to operations. The Company reviews its investments for other than temporary declines in fair value below cost basis at the end of each reporting period and whenever events or changes in circumstances indicate that the carrying amount of an asset may not be recoverable. Factors considered to determine whether an unrealized loss is temporary include whether a decline in fair value below the amortized cost basis is due to credit-related factors or non-credit-related factors, the financial condition and near-term prospects of the Company, and the Company’s intent and ability to hold the investment to allow for an anticipated recovery in fair value. A credit-related impairment is recognized as an allowance in the condensed consolidated balance sheet with a corresponding adjustment to earnings. Any impairment that is not credit-related is recognized in other comprehensive income, net of applicable taxes unless deemed other than temporary. Realized gains and losses are reflected in other expense, net in the Condensed Consolidated Statements of Comprehensive (Loss) Income and are determined using the specific identification method with transactions recorded on a settlement date basis. Investments with original maturities at date of purchase beyond three months and which mature at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less than 12 months from the condensed consolidated balance sheet date are classified as current. Investments with a maturity beyond 12 months from the condensed consolidated balance sheet date are classified as long-term.</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Assets and liabilities recorded at fair value on a recurring basis in the Condensed Consolidated Balance Sheets are categorized based upon the level of judgment associated with the inputs used to measure their fair values.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w:t>
      </w:r>
    </w:p>
    <w:p>
      <w:pPr>
        <w:pStyle w:val="TextBody"/>
        <w:bidi w:val="0"/>
        <w:spacing w:lineRule="auto" w:line="288" w:before="200" w:after="283"/>
        <w:ind w:left="0" w:right="0" w:firstLine="540"/>
        <w:jc w:val="left"/>
        <w:rPr/>
      </w:pPr>
      <w:r>
        <w:rPr>
          <w:rFonts w:ascii="Times New Roman;serif" w:hAnsi="Times New Roman;serif"/>
          <w:b w:val="false"/>
          <w:color w:val="000000"/>
          <w:sz w:val="20"/>
        </w:rPr>
        <w:t>Assets measured at fair value on a recurring basis include cash equivalents and investments (See “</w:t>
      </w:r>
      <w:r>
        <w:rPr>
          <w:rFonts w:ascii="Times New Roman;serif" w:hAnsi="Times New Roman;serif"/>
          <w:b w:val="false"/>
          <w:i/>
          <w:color w:val="000000"/>
          <w:sz w:val="20"/>
        </w:rPr>
        <w:t>Note 4—Investments and Fair Value Measurements</w:t>
      </w:r>
      <w:r>
        <w:rPr>
          <w:color w:val="000000"/>
        </w:rPr>
        <w:t>”</w:t>
      </w:r>
      <w:r>
        <w:rPr>
          <w:rFonts w:ascii="Times New Roman;serif" w:hAnsi="Times New Roman;serif"/>
          <w:b w:val="false"/>
          <w:color w:val="000000"/>
          <w:sz w:val="20"/>
        </w:rPr>
        <w:t>). The carrying amounts reflected in the Condensed Consolidated Balance Sheets for cash and cash equivalents, trade receivables, prepaid expenses and other current assets, accounts payable and accrued expenses approximate their fair values due to the short-term nature of these assets and liabilities.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Trade Receivables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trade receivables represent amounts due from its customers and partners for product sales and from its license and collaboration agreements. Trade receivables are generally stated at the invoiced amount with standard payment terms that require payment within 30 to 90 days and do not bear interest.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provides reserves against trade receivables for estimated losses that may result from a customer’s inability to pay. Receivables are evaluated to determine if any reserve or allowance should be recorded based on consideration of the current economic environment, expectations of future economic conditions, specific circumstances and the Company’s own historical collection experience. Amounts determined to be uncollectible are charged or written-off against the reserve.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values its inventory at the lower of cost or estimated net realizable value and classifies inventory as short-term or long-term based on whether it is expected to be consumed or sold within 12 months of the condensed consolidated balance sheet date. The Company uses an actual cost method and determines the cost of its inventory on a first-in, first-out basis. Raw materials and work-in-process include all inventory costs prior to packaging and labeling, including raw material, active product ingredient, and the drug product. Finished goods include packaged and labeled products.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inventory is subject to expiration dating. At each balance sheet date, the Company evaluates inventory for excess, obsolete, short-dated, unmarketable, or otherwise impaired items and records valuation reserves as necessary. The determination of whether a valuation reserve is required, and the amount of such reserve, requires the use of significant judgment. Inventory is also subject to strict quality control and monitoring that is performed throughout the manufacturing process, including release of work-in-process to finished goods. If certain batches or units of product do not meet quality specifications, the Company records a write-down of any potential unmarketable inventory to its estimated net realizable value with the resulting charge recorded as cost of product in the Condensed Consolidated Statements of Comprehensive (Loss) Income.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Prior to obtaining initial regulatory approval for an investigational product candidate, the Company expenses costs relating to production of pre-launch inventory as research and development expense in its Condensed Consolidated Statements of Comprehensive (Loss) Income in the period incurred. After regulatory approval has been received, the Company capitalizes inventory costs.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Property and equipment are recorded at cost. Depreciation is computed using the straight-line method over the estimated useful lives of the assets. Computer equipment and office equipment are depreciated over a life of three years. Laboratory equipment, software, and furniture and fixtures are depreciated over a life of five years. Leasehold improvements are amortized over their estimated useful lives or the expected lease term, whichever is less. Construction in progress reflects amounts incurred for construction or improvements of property and equipment that have not been placed in service.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periodically reviews its property and equipment for impairment when events or changes in circumstances indicate that the carrying amount of such assets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 down to their estimated fair values. Property and equipment to be disposed of are reported at the lower of carrying amount or fair value less cost to sell.</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Accrued Expenses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contractual agreements with third-party vendors who provide research and development, manufacturing, distribution, and other services in the ordinary course of business. Some of these contracts are subject to milestone-based invoicing and involve services completed over extended periods. The Company records liabilities under these contractual commitments when obligations are incurred, regardless of the invoice timing. Accrued expenses are estimated as of each condensed consolidated balance sheet date based on the facts and circumstances known at that time, which may include assumptions such as expected patient enrollment, site activation and estimated project duration. The Company accrues expenses for clinical trial activities based on the estimates of services received pursuant to contracts with multiple research institutions and clinical research organizations (“CROs”) that conduct and manage clinical trials on the Company’s behalf.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periodically confirms the accuracy of its estimates with the service providers and adjusts if necessary. Examples of estimated accrued expenses include (i) fees paid to CROs in connection with preclinical and toxicology studies and clinical trials; (ii) fees paid to investigative sites in connection with clinical trials; (iii) fees paid to contract manufacturers in connection with the production of the Company’s raw materials, drug substance, drug products, and product candidates; and (iv) professional fees. If the Company underestimates or overestimates the level of these costs, actual expenses could differ from such estimates.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Cost of Product Sales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Cost of product sales includes the cost of producing inventory that is related to product revenue during the respective period. Cost of product sales also includes costs related to excess or obsolete inventory adjustment charges.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include all direct and indirect expenses relating to research and development activities, including costs associated with product development efforts, preclinical trials, clinical trials and manufacturing activities. Research and development expenses are expensed as incurred. Most of the Company’s clinical and preclinical studies are performed by third-party CROs. Costs for studies performed by CROs are accrued based upon estimates of the actual work completed in accordance with the third-party agreements. Advance payments for goods or services that will be used or rendered for future research and development activities are deferred and capitalized. Such amounts are expensed when the related goods are delivered or the related services are performed.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Direct expenses consist of compensation for research and development personnel and costs of outside parties to conduct laboratory studies, develop manufacturing processes and manufacture the product candidate, conduct and manage clinical trials, as well as other costs related to the Company’s clinical and preclinical studies. Additionally, direct expenses consist of those costs necessary to discontinue and close out a development program, including termination fees and other commitments. Indirect expenses consist of lab supplies and services, facility expenses, depreciation of development equipment and an allocation of general and administrative overhead costs that support the Company’s research and development efforts.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are comprised of sales and marketing expenses and general and administrative expenses. Sales and marketing expenses include compensation, benefits, and related costs associated with sales and marketing personnel, safety, regulatory, manufacturing, and distribution activities related to marketed products, market research, marketing, medical affairs, market access, and advertising costs.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include compensation, benefits, and related costs associated with general and administrative personnel, quality activities related to marketed products, finance, human resources, information technology, and legal expenses, licenses and other administrative costs, including transaction-related costs. All patent related costs are expensed to general and administrative expenses when incurred as recoverability of such expenditures is uncertain.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The Company leases certain assets under operating and finance leases, which consist of real estate leases, laboratory equipment leases and office equipment leases as of March 31, 2026. The Company determines whether a contract is, or contains, a lease at inception. The Company accounts for lease obligations in accordance with ASC Topic 842, </w:t>
      </w:r>
      <w:r>
        <w:rPr>
          <w:rFonts w:ascii="Times New Roman;serif" w:hAnsi="Times New Roman;serif"/>
          <w:b w:val="false"/>
          <w:i/>
          <w:color w:val="000000"/>
          <w:sz w:val="20"/>
        </w:rPr>
        <w:t>Leases</w:t>
      </w:r>
      <w:r>
        <w:rPr>
          <w:rFonts w:ascii="Times New Roman;serif" w:hAnsi="Times New Roman;serif"/>
          <w:b w:val="false"/>
          <w:color w:val="000000"/>
          <w:sz w:val="20"/>
        </w:rPr>
        <w:t xml:space="preserve">, which requires a lessee to recognize a right-of-use asset and a lease liability in its condensed consolidated balance sheet for most leases. The Company elected the practical expedient that exempts leases with an initial lease term of twelve months or less and recognizes lease expense on a straight-line basis over the lease term. The Company also elected the practical expedient that allows companies to select, by class of underlying asset, not to separate lease and non-lease components.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Certain of the Company’s leases provide for renewal options, which can vary by lease. The right-of-use asset and lease liabilities in the Company’s Condensed Consolidated Balance Sheets represent payments over the lease term, which include renewal options for certain real estate leases that the Company is reasonably certain to exercise. Certain operating leases include rent escalation provisions, which the Company recognizes as expense on a straight-line basis.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discount rate used to determine the Company’s right-of-use asset and lease liability is the Company’s incremental borrowing rate on a collateralized basis over a similar term and amount in a similar economic environment, as generally an implicit rate in the lease is not readily determinable.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not made any residual value guarantees related to its leases; therefore, the Company has no corresponding liability recorded in its Condensed Consolidated Balance Sheets.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All share-based payments, including grants of stock option awards and restricted stock unit awards, are recognized in the Company’s Condensed Consolidated Statements of Comprehensive (Loss) Income based on their fair values. Stock-based compensation cost is estimated at the grant date based on the fair value of the award and is recognized as expense on a straight-line basis over the requisite service period of the award. Determining the appropriate fair value model and the related assumptions for the model requires judgment, including estimating the stock price volatility and the expected term. The Company utilizes the Black-Scholes option-pricing model or binomial lattice model to value its stock option awards. The Company reduces stock-based compensation expense for estimated forfeitures. The estimation of share-based payment awards that will ultimately vest requires judgment, and to the extent actual results or updated estimates differ from the Company’s current estimates, such amounts will be recorded as a cumulative adjustment in the period estimates are revised. Actual results, and future changes in estimates, may differ substantially from the Company’s current estimates.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Costs directly associated with term loan borrowings are capitalized and netted against the corresponding debt liabilities in the Condensed Consolidated Balance Sheets. These costs are amortized to interest expense over the terms of the corresponding borrowings using the effective interest rate method.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Royalty Financing Obligations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Royalty financing obligations are eligible to be repaid based on royalties from net sales of ORLADEYO. Interest expense is accrued using the effective interest rate method over the estimated period each of the related liabilities will be paid. This requires the Company to estimate the total amount of future royalty payments to be generated from product sales over the life of the agreements. The Company imputes interest on the carrying value of each of the royalty financing obligations and records interest expense using an imputed effective interest rate. The Company reassesses the expected royalty payments each reporting period and accounts for any changes through adjustments to the effective interest rates on a prospective basis. The assumptions used in determining the expected repayment terms of the debt and amortization periods of the issuance costs require that the Company make estimates that could impact the carrying values of each of the liabilities, as well as the periods over which associated issuance costs will be amortized. A significant increase or decrease in forecasted net sales could materially impact each of the liability balances, interest expense and the time periods for repayment.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liability method is used in the Company’s accounting for income taxes.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Significant management judgment is required in determining the Company’s provision for income taxes, deferred tax assets and liabilities and any valuation allowance recorded against net deferred tax assets. The Company has recorded a valuation allowance against substantially all potential tax assets, due to uncertainties in its ability to utilize deferred tax assets, primarily consisting of certain net operating losses carried forward, before they expire. The valuation allowance is based on estimates of future earnings in each of the jurisdictions in which the Company operates and the period over which its deferred tax assets will be recoverable.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accounts for uncertain tax positions in accordance with U.S. GAAP. Uncertain tax positions are recorded based upon certain recognition and measurement criteria. The Company re-evaluates uncertain tax positions and considers various factors, including, but not limited to, changes in tax law and the measurement of tax positions taken or expected to be taken in tax returns. The Company adjusts the amount of the liability to reflect any subsequent changes in the relevant facts and circumstances surrounding the uncertain tax positions. The Company recognizes interest and penalties related to income tax matters in income tax expense.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accrues for U.S. state taxes and foreign income taxes for jurisdictions where the Company has presence and nexus has been established.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 are capitalized and amortized over a 15-year period in accordance with Section 174 of the Internal Revenue Code of 1986, as amended (“IRC”). The amortization period begins with the midpoint of any taxable year that IRC Section 174 costs are first incurred, regardless of whether the expenditures were made prior to or after July 1, and runs until the midpoint of year sixteen.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Certain countries in which the Company has operations have adopted legislation influenced by the Organization for Economic Cooperation and Development (“OECD”) Pillar Two rules, including a minimum tax rate of 15%. It is uncertain whether the U.S. will enact legislation to adopt the Pillar Two framework. While the Company is currently not within the scope of the rules, it is continuing to review and evaluate additional guidance released by the OECD, along with the pending legislative adoption by additional individual countries where the Company operates. </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pPr>
      <w:r>
        <w:rPr>
          <w:rFonts w:ascii="Times New Roman;serif" w:hAnsi="Times New Roman;serif"/>
          <w:b w:val="false"/>
          <w:color w:val="000000"/>
          <w:sz w:val="20"/>
        </w:rPr>
        <w:t xml:space="preserve">On July 4, 2025, the One Big Beautiful Bill Act (“OBBBA”) was signed into law, making permanent certain provisions of the Tax Cuts and Jobs Act, including permanent 100% bonus depreciation, expensing of domestic research costs, and amendments to the business interest expense limitation. In accordance with ASC Topic 740,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the Company recognized the effects of the new tax law in the period of enactment. As the Company maintains a full valuation allowance on its U.S. federal deferred tax assets, the legislation did not have a material impact on its condensed consolidated financial statements for the three months ended March 31, 2026.</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Foreign Currency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functional currency of each of the Company’s foreign subsidiaries is primarily the local currency of the country in which the subsidiary operates. The Company’s asset and liability accounts are translated at the current exchange rate as of the condensed consolidated balance sheet date. Revenue and expense accounts are translated at the average exchange rate over the period. Adjustments resulting from the translation of the financial statements of the Company’s foreign subsidiaries into U.S. dollars are accumulated as a separate component of stockholders’ deficit within accumulated other comprehensive (loss) income. Gains or losses resulting from transactions denominated in foreign currencies are included in foreign currency losses (gains), net, within the Condensed Consolidated Statement of Comprehensive (Loss) Income.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Net (Loss) Income Per Share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Basic net (loss) income per share is calculated using the weighted average number of common shares outstanding during the period. Diluted net (loss) income per share includes the effect of potentially dilutive common shares outstanding during the period, as determined using the treasury stock method. Potentially dilutive common shares include shares that the Company could be obligated to issue from its outstanding stock-based compensation awards. In periods of net loss, all potential common shares would be anti-dilutive and therefore are excluded from the calculation of diluted net (loss) income per share.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Accumulated Other Comprehensive (Loss) Income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Accumulated other comprehensive (loss) income is comprised of cumulative foreign currency translation adjustments and unrealized gains and losses on available-for-sale investments and is disclosed as a separate component of stockholders’ deficit. Realized gain and loss amounts on available-for-sale investments are reclassified from accumulated other comprehensive (loss) income and recorded as other expense, net in the Condensed Consolidated Statements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Income. There were no realized gains or losses reclassified out of accumulated other comprehensive (loss) income for the three months ended March 31, 2026 and 2025.</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Significant Customers and Other Risks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Significant Customers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primary source of revenue and cash flow is sales of ORLADEYO in the United States.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ORLADEYO is generally distributed through an arrangement with a single specialty pharmacy in the United States. The specialty pharmacy subsequently sells ORLADEYO to its customers (pharmacy benefit managers, insurance companies, government programs and group purchasing organizations) who dispense product to patients. Peramivir is also generally distributed through the same specialty pharmacy in the United States. The specialty pharmacy’s inability or unwillingness to continue these distribution activities could adversely impact the Company’s business, results of operations and financial condition. Product revenue where the specialty pharmacy is considered the customer was approximately 93% and 85% of total product sales for the three months ended March 31, 2026 and 2025, respectively.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distributes ORLADEYO in other global markets directly or through other parties.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Risks from Third-Party Manufacturing and Distribution Concentration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relies on a single source manufacturer for active pharmaceutical ingredient and finished drug product manufacturing of product candidates in development and on a single specialty pharmacy for distribution of approved drug product in the United States. Delays or disruption in the manufacture or distribution of any product could adversely impact the future procurement stockpiling of the Company’s commercial product, commercial revenue and product candidates.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 the Company’s drug development activities are performed by a limited group of third-party vendors. If any of these vendors were unable to perform its services, this could significantly impact the Company’s ability to complete its drug development activities.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Credit Risk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concentrations of credit risk consist of cash and cash equivalents, investments, and trade receivables. The Company maintains its cash and cash equivalents with high-credit quality financial institutions in the United States. Such amounts may exceed federally-insured limits. The Company believes it has established guidelines for investment of its excess cash relative to diversification and maturities that maintain safety and liquidity. To minimize the exposure due to adverse shifts in interest rates, the Company maintains a portfolio of investments with an average maturity of approximately 12 months or less.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trade receivables from sales of ORLADEYO are primarily due from its significant customer, as discussed above, resulting in a concentration of credit risk.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In September 2025, the Financial Accounting Standards Board (“FASB”) issued Accounting Standards Update (“ASU”) 2025-06, </w:t>
      </w:r>
      <w:r>
        <w:rPr>
          <w:rFonts w:ascii="Times New Roman;serif" w:hAnsi="Times New Roman;serif"/>
          <w:b w:val="false"/>
          <w:i/>
          <w:color w:val="000000"/>
          <w:sz w:val="20"/>
        </w:rPr>
        <w:t>Intangibles - Goodwill and Other - Internal-Use Software (Subtopic 350-40): Targeted Improvements to the Accounting for Internal-Use Software</w:t>
      </w:r>
      <w:r>
        <w:rPr>
          <w:rFonts w:ascii="Times New Roman;serif" w:hAnsi="Times New Roman;serif"/>
          <w:b w:val="false"/>
          <w:color w:val="000000"/>
          <w:sz w:val="20"/>
        </w:rPr>
        <w:t>, which clarifies and modernizes the accounting for costs related to internal-use software, eliminating references to project stages and clarifying the threshold entities apply to begin capitalizing costs. ASU 2025-06 is effective for fiscal years beginning after December 15, 2027, and interim periods within those annual reporting periods, with early adoption permitted. The Company adopted ASU 2025-06 as of January 1, 2026. The adoption of this standard did not have a material effect on the Company’s Condensed Consolidated Balance Sheet, Condensed Consolidated Statement of Comprehensive (Loss) Income, or Condensed Consolidated Statement of Cash Flows.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New Accounting Pronouncements Not Yet Adopted</w:t>
      </w:r>
    </w:p>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xml:space="preserve">, which requires public entities, on an annual and interim basis, to provide disaggregated disclosure of certain income statement expenses into specified categories within the footnotes to the financial statements. ASU 2024-03 is effective for fiscal years beginning after December 15, 2026, and interim periods within fiscal years beginning after December 15, 2027, with early adoption permitted. The Company is currently evaluating the impact that the adoption of ASU 2024-03 will have on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disclosures. The Company does not expect the adoption of this ASU to have a material effect on its Condensed Consolidated Balance Sheet, Condensed Consolidated Statement of Comprehensive (Loss) Income, or Condensed Consolidated Statement of Cash Flows.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does not expect any other recently issued accounting standards to have a material impact to its condensed consolidated financial statements or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Note 2</w:t>
      </w:r>
      <w:r>
        <w:rPr>
          <w:color w:val="000000"/>
        </w:rPr>
        <w:t xml:space="preserve"> — </w:t>
      </w:r>
      <w:r>
        <w:rPr>
          <w:rFonts w:ascii="Times New Roman;serif" w:hAnsi="Times New Roman;serif"/>
          <w:b/>
          <w:color w:val="000000"/>
          <w:sz w:val="20"/>
        </w:rPr>
        <w:t>Acquisition of Astria Therapeutics, Inc.</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14, 2025, the Company, Axel Merger Sub, Inc., a Delaware corporation and a wholly owned subsidiary of the Company (“Merger Sub”), and Astria Therapeutics, Inc., a Delaware corporation (“Astria”), entered into an Agreement and Plan of Merger (the “Merger Agreement”). Pursuant to the Merger Agreement, on January 23, 2026 (the “Closing Date”), the Company completed the acquisition of all of the outstanding equity of Astria and Merger Sub merged with and into Astria, with Astria surviving as a wholly owned subsidiary of the Company (the “Merger”). </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terms of the Merger Agreement, at the effective time of the Merger (the “Effective Time”), each share of Astria common stock, par value $0.001 per share, issued and outstanding immediately prior to the Effective Time was converted into the right to receive (i) 0.59 of a share of the Company’s common stock, par value $0.01 per share (and, if applicable, cash in lieu of fractional shares), and (ii) $8.55 in cash, without interest, subject to certain adjustments and applicable withholding taxes. Holders of Astria’s Series X Convertible Preferred Stock, warrants, and certain options were also entitled to certain consideration, as further set forth in the Merger Agreement.</w:t>
      </w:r>
    </w:p>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The Company accounted for the Merger as an asset acquisition in accordance with ASC Topic 805,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as substantially all of the fair value of the gross assets acquired was concentrated in a single identifiable asset, the in-process research and development asset related to navenibart (the “IPR&amp;D – navenibart” asset). Accordingly, the total cost of the asset acquisition, including direct transaction costs incurred by the Company in connection with the Merger, was allocated to the assets acquired and liabilities assumed on a relative fair value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Consideration Transferred and Purchase Price Allocation</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the total consideration transferred and allocation of consideration transferred to the assets acquired, liabilities assumed, and IPR&amp;D – navenibart in connection with the Merger: </w:t>
      </w:r>
    </w:p>
    <w:tbl>
      <w:tblPr>
        <w:tblW w:w="10205" w:type="dxa"/>
        <w:jc w:val="left"/>
        <w:tblInd w:w="0" w:type="dxa"/>
        <w:tblLayout w:type="fixed"/>
        <w:tblCellMar>
          <w:top w:w="28" w:type="dxa"/>
          <w:left w:w="28" w:type="dxa"/>
          <w:bottom w:w="28" w:type="dxa"/>
          <w:right w:w="28" w:type="dxa"/>
        </w:tblCellMar>
      </w:tblPr>
      <w:tblGrid>
        <w:gridCol w:w="2808"/>
        <w:gridCol w:w="2467"/>
        <w:gridCol w:w="2470"/>
        <w:gridCol w:w="435"/>
        <w:gridCol w:w="1705"/>
        <w:gridCol w:w="320"/>
      </w:tblGrid>
      <w:tr>
        <w:trPr/>
        <w:tc>
          <w:tcPr>
            <w:tcW w:w="2808"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consideration</w:t>
            </w:r>
            <w:r>
              <w:rPr>
                <w:rFonts w:ascii="Times New Roman;serif" w:hAnsi="Times New Roman;serif"/>
                <w:b w:val="false"/>
                <w:color w:val="000000"/>
                <w:sz w:val="13"/>
              </w:rPr>
              <w:t>1</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251,655 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w:t>
            </w:r>
          </w:p>
        </w:tc>
        <w:tc>
          <w:tcPr>
            <w:tcW w:w="2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608,633 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transaction costs</w:t>
            </w:r>
          </w:p>
        </w:tc>
        <w:tc>
          <w:tcPr>
            <w:tcW w:w="2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14,025 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w:t>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874,313 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 and liabilities assumed:</w:t>
            </w:r>
          </w:p>
        </w:tc>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Cash and cash equivalents</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130,588 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Short-term investments</w:t>
            </w:r>
          </w:p>
        </w:tc>
        <w:tc>
          <w:tcPr>
            <w:tcW w:w="2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Trade receivables</w:t>
            </w:r>
          </w:p>
        </w:tc>
        <w:tc>
          <w:tcPr>
            <w:tcW w:w="2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Prepaid expenses and other current assets</w:t>
            </w:r>
          </w:p>
        </w:tc>
        <w:tc>
          <w:tcPr>
            <w:tcW w:w="2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Property and equipment</w:t>
            </w:r>
          </w:p>
        </w:tc>
        <w:tc>
          <w:tcPr>
            <w:tcW w:w="2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assets</w:t>
            </w:r>
          </w:p>
        </w:tc>
        <w:tc>
          <w:tcPr>
            <w:tcW w:w="2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Right of use asset  </w:t>
            </w:r>
          </w:p>
        </w:tc>
        <w:tc>
          <w:tcPr>
            <w:tcW w:w="2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IPR&amp;D - navenibart</w:t>
            </w:r>
          </w:p>
        </w:tc>
        <w:tc>
          <w:tcPr>
            <w:tcW w:w="2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705,267 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Assembled workforce</w:t>
            </w:r>
          </w:p>
        </w:tc>
        <w:tc>
          <w:tcPr>
            <w:tcW w:w="2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Accounts payable</w:t>
            </w:r>
          </w:p>
        </w:tc>
        <w:tc>
          <w:tcPr>
            <w:tcW w:w="2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(22,627)</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Accrued expenses</w:t>
            </w:r>
          </w:p>
        </w:tc>
        <w:tc>
          <w:tcPr>
            <w:tcW w:w="2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(10,146)</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 liabilities, current</w:t>
            </w:r>
          </w:p>
        </w:tc>
        <w:tc>
          <w:tcPr>
            <w:tcW w:w="2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Deferred revenue, current</w:t>
            </w:r>
          </w:p>
        </w:tc>
        <w:tc>
          <w:tcPr>
            <w:tcW w:w="2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(4,598)</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Operating lease liabilities, net of current portion </w:t>
            </w:r>
          </w:p>
        </w:tc>
        <w:tc>
          <w:tcPr>
            <w:tcW w:w="2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Deferred revenue, net of current portion</w:t>
            </w:r>
          </w:p>
        </w:tc>
        <w:tc>
          <w:tcPr>
            <w:tcW w:w="2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874,313 </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Consists of the issuance of 37,282 shares of the Company’s common stock multiplied by the Company’s common stock closing price of $6.75 per share on January 22, 2026. </w:t>
            </w:r>
          </w:p>
        </w:tc>
      </w:tr>
    </w:tbl>
    <w:p>
      <w:pPr>
        <w:pStyle w:val="TextBody"/>
        <w:bidi w:val="0"/>
        <w:spacing w:lineRule="auto" w:line="288" w:before="200" w:after="283"/>
        <w:ind w:left="0" w:right="0" w:firstLine="540"/>
        <w:jc w:val="both"/>
        <w:rPr/>
      </w:pPr>
      <w:r>
        <w:rPr>
          <w:rFonts w:ascii="Times New Roman;serif" w:hAnsi="Times New Roman;serif"/>
          <w:b w:val="false"/>
          <w:color w:val="000000"/>
          <w:sz w:val="20"/>
        </w:rPr>
        <w:t xml:space="preserve">The entire amount allocated to the IPR&amp;D – navenibart asset was expensed in accordance with ASC Topic 730, </w:t>
      </w:r>
      <w:r>
        <w:rPr>
          <w:rFonts w:ascii="Times New Roman;serif" w:hAnsi="Times New Roman;serif"/>
          <w:b w:val="false"/>
          <w:i/>
          <w:color w:val="000000"/>
          <w:sz w:val="20"/>
        </w:rPr>
        <w:t>Research and Development</w:t>
      </w:r>
      <w:r>
        <w:rPr>
          <w:rFonts w:ascii="Times New Roman;serif" w:hAnsi="Times New Roman;serif"/>
          <w:b w:val="false"/>
          <w:color w:val="000000"/>
          <w:sz w:val="20"/>
        </w:rPr>
        <w:t>. Of the total value ascribed to the IPR&amp;D – navenibart asset, $7,506 related to direct transaction costs incurred prior to the transaction close and were recorded in selling, general and administrative expense in the Consolidated Statement of Comprehensive Income (Loss) for the year ended December 31, 2025. The remaining value ascribed to the IPR&amp;D – navenibart asset of $697,761 was recognized in acquired in-process research and development in the Condensed Consolidated Statement of Comprehensive (Loss) Income for the three months ended March 31, 2026. The amount allocated to the assembled workforce was amortized over two months to reflect the estimated benefit derived from that asset which resulted in amortization expense of $600 being recognized in research and development expense in the Condensed Consolidated Statement of Comprehensive (Loss) Income for the three months ended March 31, 2026.</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Astria Stock Options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the Merger, the vesting of outstanding in-the-money Astria stock options was accelerated and the options were cancelled in exchange for a cash payment equal to the product of the difference between $13.00 and the option’s exercise price and the number of shares underlying the option, for total consideration of $43,403. Options with an exercise price equal to or exceeding $13.00 were cancelled for no consideration. The total consideration was allocated between the portion attributable to pre</w:t>
        <w:noBreakHyphen/>
        <w:t>combination service, not to exceed the fair value of the underlying options, and the portion attributable to post</w:t>
        <w:noBreakHyphen/>
        <w:t>combination service. The amount attributable to pre</w:t>
        <w:noBreakHyphen/>
        <w:t xml:space="preserve">combination service was measured based on the fair value of the options immediately prior to cash settlement, totaling $14,274, and was included in the total purchase price as cash consideration. The remaining $29,129 was attributable to post-combination service, of which $10,709 was recognized in research and development expense and $18,420 was recognized in selling, general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administrative expense in the Condensed Consolidated Statement of Comprehensive (Loss) Income for the three months ended March 31, 2026.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Separation Costs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Concurrent with the Closing Date, the Company entered into separation agreements with certain Astria employees. The Company recognized $11,927 of costs associated with the separation agreements during the three months ended March 31, 2026, of which $3,954 was recognized in research and development expense and $7,973 was recognized in selling, general and administrative expense in the Condensed Consolidated Statement of Comprehensive (Loss) Income for the three months ended March 31, 2026. The following table summarizes the accrued liability activity recorded in connection with the separation agreements for the three months ended March 31, 2026:</w:t>
      </w:r>
    </w:p>
    <w:tbl>
      <w:tblPr>
        <w:tblW w:w="8091" w:type="dxa"/>
        <w:jc w:val="left"/>
        <w:tblInd w:w="0" w:type="dxa"/>
        <w:tblLayout w:type="fixed"/>
        <w:tblCellMar>
          <w:top w:w="28" w:type="dxa"/>
          <w:left w:w="28" w:type="dxa"/>
          <w:bottom w:w="28" w:type="dxa"/>
          <w:right w:w="28" w:type="dxa"/>
        </w:tblCellMar>
      </w:tblPr>
      <w:tblGrid>
        <w:gridCol w:w="2574"/>
        <w:gridCol w:w="2261"/>
        <w:gridCol w:w="2275"/>
        <w:gridCol w:w="211"/>
        <w:gridCol w:w="616"/>
        <w:gridCol w:w="154"/>
      </w:tblGrid>
      <w:tr>
        <w:trPr/>
        <w:tc>
          <w:tcPr>
            <w:tcW w:w="2574"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Workforce reduction expense recorded during the three months ended March 31, 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paid during the three months ended March 31, 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does not expect to incur any additional significant costs related to the separation agreements. The remaining unpaid costs are expected to be disbursed by September 30,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Note 3</w:t>
      </w:r>
      <w:r>
        <w:rPr>
          <w:color w:val="000000"/>
        </w:rPr>
        <w:t xml:space="preserve"> — </w:t>
      </w:r>
      <w:r>
        <w:rPr>
          <w:rFonts w:ascii="Times New Roman;serif" w:hAnsi="Times New Roman;serif"/>
          <w:b/>
          <w:color w:val="000000"/>
          <w:sz w:val="20"/>
        </w:rPr>
        <w:t>Revenue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recorded the following revenues for the three months ended March 31, 2026 and 2025:</w:t>
      </w:r>
    </w:p>
    <w:tbl>
      <w:tblPr>
        <w:tblW w:w="4273" w:type="dxa"/>
        <w:jc w:val="left"/>
        <w:tblInd w:w="0" w:type="dxa"/>
        <w:tblLayout w:type="fixed"/>
        <w:tblCellMar>
          <w:top w:w="28" w:type="dxa"/>
          <w:left w:w="28" w:type="dxa"/>
          <w:bottom w:w="28" w:type="dxa"/>
          <w:right w:w="28" w:type="dxa"/>
        </w:tblCellMar>
      </w:tblPr>
      <w:tblGrid>
        <w:gridCol w:w="521"/>
        <w:gridCol w:w="459"/>
        <w:gridCol w:w="460"/>
        <w:gridCol w:w="224"/>
        <w:gridCol w:w="879"/>
        <w:gridCol w:w="116"/>
        <w:gridCol w:w="116"/>
        <w:gridCol w:w="116"/>
        <w:gridCol w:w="116"/>
        <w:gridCol w:w="224"/>
        <w:gridCol w:w="879"/>
        <w:gridCol w:w="163"/>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ORLADEYO</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148,347 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134,243 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revenue</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156,413 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145,534 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pPr>
      <w:r>
        <w:rPr>
          <w:rFonts w:ascii="Times New Roman;serif" w:hAnsi="Times New Roman;serif"/>
          <w:b w:val="false"/>
          <w:color w:val="000000"/>
          <w:sz w:val="20"/>
        </w:rPr>
        <w:t>ORLADEYO revenue includes product sales and royalties. License revenue includes quarterly royalty payments from BioCryst Ireland Limited (see “</w:t>
      </w:r>
      <w:r>
        <w:rPr>
          <w:rFonts w:ascii="Times New Roman;serif" w:hAnsi="Times New Roman;serif"/>
          <w:b w:val="false"/>
          <w:i/>
          <w:color w:val="000000"/>
          <w:sz w:val="20"/>
        </w:rPr>
        <w:t>Note 1—Significant Accounting Policies”</w:t>
      </w:r>
      <w:r>
        <w:rPr>
          <w:rFonts w:ascii="Times New Roman;serif" w:hAnsi="Times New Roman;serif"/>
          <w:b w:val="false"/>
          <w:color w:val="000000"/>
          <w:sz w:val="20"/>
        </w:rPr>
        <w:t>). Other revenues consist of product sales and royalty revenue related to peramivir and collaboration revenue under the Kaken License Agreement (see “</w:t>
      </w:r>
      <w:r>
        <w:rPr>
          <w:rFonts w:ascii="Times New Roman;serif" w:hAnsi="Times New Roman;serif"/>
          <w:b w:val="false"/>
          <w:i/>
          <w:color w:val="000000"/>
          <w:sz w:val="20"/>
        </w:rPr>
        <w:t>Note 12—Collaborative and Other Relationships”</w:t>
      </w:r>
      <w:r>
        <w:rPr>
          <w:rFonts w:ascii="Times New Roman;serif" w:hAnsi="Times New Roman;serif"/>
          <w:b w:val="false"/>
          <w:color w:val="000000"/>
          <w:sz w:val="20"/>
        </w:rPr>
        <w:t xml:space="preserve">).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Revenues from customers in the U.S. represented approximately 94% and 90% of ORLADEYO revenues and 90% and 88% of total revenues for the three months ended March 31, 2026 and 2025, respectively. No individual country outside of the U.S. exceeded 10% of total revenues for the three months ended March 31, 2026 or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Note 4</w:t>
      </w:r>
      <w:r>
        <w:rPr>
          <w:color w:val="000000"/>
        </w:rPr>
        <w:t xml:space="preserve"> — </w:t>
      </w:r>
      <w:r>
        <w:rPr>
          <w:rFonts w:ascii="Times New Roman;serif" w:hAnsi="Times New Roman;serif"/>
          <w:b/>
          <w:color w:val="000000"/>
          <w:sz w:val="20"/>
        </w:rPr>
        <w:t>Fair Value Measurements and Investments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Fair value is an exit price, representing the amount that would be received from the sale of an asset or paid to transfer a liability in an orderly transaction between market participants. Fair value is determined based on observable and unobservable inputs. Observable inputs reflect readily obtainable data from independent sources, while unobservable inputs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reflect certain market assumptions. As a basis for considering such assumptions, U.S. GAAP establishes a three-tier value hierarchy, which prioritizes the inputs used to develop the assumptions and for measuring fair value as follows: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Level 1 — observable inputs such as quoted prices in active markets for identical assets;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Level 2 — inputs other than the quoted prices in active markets that are observable either directly or indirectly;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Level 3 — unobservable inputs for which there is little or no market data, which requires the Company to develop its own assumptions.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This hierarchy requires the Company to use observable market data, when available, and to minimize the use of unobservable inputs when determining fair value.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Assets measured at fair value on a recurring basis were as follows:</w:t>
      </w:r>
    </w:p>
    <w:tbl>
      <w:tblPr>
        <w:tblW w:w="10205" w:type="dxa"/>
        <w:jc w:val="left"/>
        <w:tblInd w:w="0" w:type="dxa"/>
        <w:tblLayout w:type="fixed"/>
        <w:tblCellMar>
          <w:top w:w="28" w:type="dxa"/>
          <w:left w:w="28" w:type="dxa"/>
          <w:bottom w:w="28" w:type="dxa"/>
          <w:right w:w="28" w:type="dxa"/>
        </w:tblCellMar>
      </w:tblPr>
      <w:tblGrid>
        <w:gridCol w:w="908"/>
        <w:gridCol w:w="580"/>
        <w:gridCol w:w="566"/>
        <w:gridCol w:w="351"/>
        <w:gridCol w:w="1377"/>
        <w:gridCol w:w="181"/>
        <w:gridCol w:w="109"/>
        <w:gridCol w:w="109"/>
        <w:gridCol w:w="109"/>
        <w:gridCol w:w="403"/>
        <w:gridCol w:w="1377"/>
        <w:gridCol w:w="209"/>
        <w:gridCol w:w="109"/>
        <w:gridCol w:w="109"/>
        <w:gridCol w:w="109"/>
        <w:gridCol w:w="603"/>
        <w:gridCol w:w="1159"/>
        <w:gridCol w:w="313"/>
        <w:gridCol w:w="109"/>
        <w:gridCol w:w="109"/>
        <w:gridCol w:w="109"/>
        <w:gridCol w:w="211"/>
        <w:gridCol w:w="826"/>
        <w:gridCol w:w="160"/>
      </w:tblGrid>
      <w:tr>
        <w:trPr/>
        <w:tc>
          <w:tcPr>
            <w:tcW w:w="90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Quoted Price in Active Markets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Other Observable 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Inputs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121,120 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121,120 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U.S. Government and its agencies</w:t>
            </w:r>
          </w:p>
        </w:tc>
        <w:tc>
          <w:tcPr>
            <w:tcW w:w="1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81,636 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81,636 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121,120 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87,378 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208,498 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10"/>
        <w:gridCol w:w="583"/>
        <w:gridCol w:w="569"/>
        <w:gridCol w:w="374"/>
        <w:gridCol w:w="1278"/>
        <w:gridCol w:w="193"/>
        <w:gridCol w:w="109"/>
        <w:gridCol w:w="109"/>
        <w:gridCol w:w="109"/>
        <w:gridCol w:w="375"/>
        <w:gridCol w:w="1472"/>
        <w:gridCol w:w="194"/>
        <w:gridCol w:w="109"/>
        <w:gridCol w:w="109"/>
        <w:gridCol w:w="109"/>
        <w:gridCol w:w="604"/>
        <w:gridCol w:w="1162"/>
        <w:gridCol w:w="313"/>
        <w:gridCol w:w="109"/>
        <w:gridCol w:w="109"/>
        <w:gridCol w:w="109"/>
        <w:gridCol w:w="211"/>
        <w:gridCol w:w="826"/>
        <w:gridCol w:w="160"/>
      </w:tblGrid>
      <w:tr>
        <w:trPr/>
        <w:tc>
          <w:tcPr>
            <w:tcW w:w="91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Quoted Price in Active Markets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Other Observable 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Inputs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U.S. Government and its agencies</w:t>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246,175 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35,800 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246,175 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281,975 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the fair value of the Company’s investments by type: </w:t>
      </w:r>
    </w:p>
    <w:tbl>
      <w:tblPr>
        <w:tblW w:w="10205" w:type="dxa"/>
        <w:jc w:val="left"/>
        <w:tblInd w:w="0" w:type="dxa"/>
        <w:tblLayout w:type="fixed"/>
        <w:tblCellMar>
          <w:top w:w="28" w:type="dxa"/>
          <w:left w:w="28" w:type="dxa"/>
          <w:bottom w:w="28" w:type="dxa"/>
          <w:right w:w="28" w:type="dxa"/>
        </w:tblCellMar>
      </w:tblPr>
      <w:tblGrid>
        <w:gridCol w:w="1408"/>
        <w:gridCol w:w="1235"/>
        <w:gridCol w:w="1243"/>
        <w:gridCol w:w="211"/>
        <w:gridCol w:w="721"/>
        <w:gridCol w:w="109"/>
        <w:gridCol w:w="109"/>
        <w:gridCol w:w="109"/>
        <w:gridCol w:w="109"/>
        <w:gridCol w:w="217"/>
        <w:gridCol w:w="480"/>
        <w:gridCol w:w="114"/>
        <w:gridCol w:w="109"/>
        <w:gridCol w:w="109"/>
        <w:gridCol w:w="109"/>
        <w:gridCol w:w="379"/>
        <w:gridCol w:w="460"/>
        <w:gridCol w:w="197"/>
        <w:gridCol w:w="109"/>
        <w:gridCol w:w="109"/>
        <w:gridCol w:w="109"/>
        <w:gridCol w:w="314"/>
        <w:gridCol w:w="559"/>
        <w:gridCol w:w="163"/>
        <w:gridCol w:w="109"/>
        <w:gridCol w:w="109"/>
        <w:gridCol w:w="109"/>
        <w:gridCol w:w="211"/>
        <w:gridCol w:w="721"/>
        <w:gridCol w:w="155"/>
      </w:tblGrid>
      <w:tr>
        <w:trPr/>
        <w:tc>
          <w:tcPr>
            <w:tcW w:w="1408"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3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Accrued</w:t>
              <w:b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U.S. Government and its agencies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81,636 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87,378 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86"/>
        <w:gridCol w:w="1129"/>
        <w:gridCol w:w="1136"/>
        <w:gridCol w:w="211"/>
        <w:gridCol w:w="826"/>
        <w:gridCol w:w="109"/>
        <w:gridCol w:w="109"/>
        <w:gridCol w:w="109"/>
        <w:gridCol w:w="109"/>
        <w:gridCol w:w="211"/>
        <w:gridCol w:w="616"/>
        <w:gridCol w:w="109"/>
        <w:gridCol w:w="109"/>
        <w:gridCol w:w="109"/>
        <w:gridCol w:w="109"/>
        <w:gridCol w:w="278"/>
        <w:gridCol w:w="614"/>
        <w:gridCol w:w="144"/>
        <w:gridCol w:w="109"/>
        <w:gridCol w:w="109"/>
        <w:gridCol w:w="109"/>
        <w:gridCol w:w="369"/>
        <w:gridCol w:w="475"/>
        <w:gridCol w:w="192"/>
        <w:gridCol w:w="109"/>
        <w:gridCol w:w="109"/>
        <w:gridCol w:w="109"/>
        <w:gridCol w:w="211"/>
        <w:gridCol w:w="826"/>
        <w:gridCol w:w="155"/>
      </w:tblGrid>
      <w:tr>
        <w:trPr/>
        <w:tc>
          <w:tcPr>
            <w:tcW w:w="128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Accrued</w:t>
              <w:b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U.S. Government and its agencies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246,175 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246,175 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investments consist of fixed income securities whose valuations are based on observable direct and indirect inputs, primarily quoted prices of similar, but not identical, instruments in active markets or quoted prices for identical or similar instruments in markets that are not active. These fair values are obtained from independent pricing services.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March 31, 2026, the Company had eight securities with a total estimated fair value of $72,273 in an unrealized loss position. The Company believes the individual unrealized losses represent temporary declines primarily resulting from interest rate changes. The Company does not have an intent to sell these investments, and it is more likely than not that the investments will be held until recovery of their amortized cost basis. As such, no allowance was recognized.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scheduled maturity for the Company’s investments at March 31, 2026 and December 31, 2025:</w:t>
      </w:r>
    </w:p>
    <w:tbl>
      <w:tblPr>
        <w:tblW w:w="7061" w:type="dxa"/>
        <w:jc w:val="left"/>
        <w:tblInd w:w="0" w:type="dxa"/>
        <w:tblLayout w:type="fixed"/>
        <w:tblCellMar>
          <w:top w:w="28" w:type="dxa"/>
          <w:left w:w="28" w:type="dxa"/>
          <w:bottom w:w="28" w:type="dxa"/>
          <w:right w:w="28" w:type="dxa"/>
        </w:tblCellMar>
      </w:tblPr>
      <w:tblGrid>
        <w:gridCol w:w="1277"/>
        <w:gridCol w:w="1122"/>
        <w:gridCol w:w="1126"/>
        <w:gridCol w:w="292"/>
        <w:gridCol w:w="998"/>
        <w:gridCol w:w="150"/>
        <w:gridCol w:w="109"/>
        <w:gridCol w:w="109"/>
        <w:gridCol w:w="109"/>
        <w:gridCol w:w="313"/>
        <w:gridCol w:w="1228"/>
        <w:gridCol w:w="228"/>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in one year or less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66,809 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185,011 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after one year through two years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61,164 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87,378 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246,175 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Note 5</w:t>
      </w:r>
      <w:r>
        <w:rPr>
          <w:color w:val="000000"/>
        </w:rPr>
        <w:t xml:space="preserve"> — </w:t>
      </w:r>
      <w:r>
        <w:rPr>
          <w:rFonts w:ascii="Times New Roman;serif" w:hAnsi="Times New Roman;serif"/>
          <w:b/>
          <w:color w:val="000000"/>
          <w:sz w:val="20"/>
        </w:rPr>
        <w:t>Trade Receivables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At March 31, 2026 and December 31, 2025, the Company’s trade receivables from product sales of ORLADEYO and peramivir and license and other revenues consisted of the following: </w:t>
      </w:r>
    </w:p>
    <w:tbl>
      <w:tblPr>
        <w:tblW w:w="5860" w:type="dxa"/>
        <w:jc w:val="left"/>
        <w:tblInd w:w="0" w:type="dxa"/>
        <w:tblLayout w:type="fixed"/>
        <w:tblCellMar>
          <w:top w:w="28" w:type="dxa"/>
          <w:left w:w="28" w:type="dxa"/>
          <w:bottom w:w="28" w:type="dxa"/>
          <w:right w:w="28" w:type="dxa"/>
        </w:tblCellMar>
      </w:tblPr>
      <w:tblGrid>
        <w:gridCol w:w="842"/>
        <w:gridCol w:w="740"/>
        <w:gridCol w:w="742"/>
        <w:gridCol w:w="265"/>
        <w:gridCol w:w="1038"/>
        <w:gridCol w:w="137"/>
        <w:gridCol w:w="109"/>
        <w:gridCol w:w="109"/>
        <w:gridCol w:w="109"/>
        <w:gridCol w:w="313"/>
        <w:gridCol w:w="1228"/>
        <w:gridCol w:w="228"/>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ORLADEYO</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102,292 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92,351 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Peramivir</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and other revenues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trade receivables</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109,272 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106,818 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 xml:space="preserve">Note 6 </w:t>
      </w:r>
      <w:r>
        <w:rPr>
          <w:color w:val="000000"/>
        </w:rPr>
        <w:t xml:space="preserve">— </w:t>
      </w:r>
      <w:r>
        <w:rPr>
          <w:rFonts w:ascii="Times New Roman;serif" w:hAnsi="Times New Roman;serif"/>
          <w:b/>
          <w:color w:val="000000"/>
          <w:sz w:val="20"/>
        </w:rPr>
        <w:t>Inventory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At March 31, 2026 and December 31, 2025, the Company’s inventory related to ORLADEYO and peramivir consisted of the following: </w:t>
      </w:r>
    </w:p>
    <w:tbl>
      <w:tblPr>
        <w:tblW w:w="5277" w:type="dxa"/>
        <w:jc w:val="left"/>
        <w:tblInd w:w="0" w:type="dxa"/>
        <w:tblLayout w:type="fixed"/>
        <w:tblCellMar>
          <w:top w:w="28" w:type="dxa"/>
          <w:left w:w="28" w:type="dxa"/>
          <w:bottom w:w="28" w:type="dxa"/>
          <w:right w:w="28" w:type="dxa"/>
        </w:tblCellMar>
      </w:tblPr>
      <w:tblGrid>
        <w:gridCol w:w="630"/>
        <w:gridCol w:w="552"/>
        <w:gridCol w:w="558"/>
        <w:gridCol w:w="292"/>
        <w:gridCol w:w="998"/>
        <w:gridCol w:w="150"/>
        <w:gridCol w:w="109"/>
        <w:gridCol w:w="109"/>
        <w:gridCol w:w="109"/>
        <w:gridCol w:w="344"/>
        <w:gridCol w:w="1175"/>
        <w:gridCol w:w="251"/>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34,960 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30,163 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Reserves</w:t>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 net</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34,161 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29,388 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pPr>
      <w:r>
        <w:rPr>
          <w:rFonts w:ascii="Times New Roman;serif" w:hAnsi="Times New Roman;serif"/>
          <w:b/>
          <w:color w:val="000000"/>
          <w:sz w:val="20"/>
        </w:rPr>
        <w:t xml:space="preserve">Note 7 </w:t>
      </w:r>
      <w:r>
        <w:rPr>
          <w:color w:val="000000"/>
        </w:rPr>
        <w:t xml:space="preserve">— </w:t>
      </w:r>
      <w:r>
        <w:rPr>
          <w:rFonts w:ascii="Times New Roman;serif" w:hAnsi="Times New Roman;serif"/>
          <w:b/>
          <w:color w:val="000000"/>
          <w:sz w:val="20"/>
        </w:rPr>
        <w:t>Royalty Financing Obligations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December 7, 2020, the Company and RPI 2019 Intermediate Finance Trust (“RPI”) entered into a Purchase and Sale Agreement (the “2020 RPI Royalty Purchase Agreement”), pursuant to which the Company sold to RPI the right to receive certain royalty payments from the Company for a purchase price of $125,000 in cash. Under the 2020 RPI Royalty Purchase Agreement, RPI is entitled to receive tiered, sales-based royalties on net product sales of ORLADEYO in the United States and certain key European markets (collectively, the “Key Territories”), and other markets where the Company sells ORLADEYO directly or through distributors (collectively, the “Direct Sales”) in an amount equal to: (i) 8.75% of aggregate annual net sales of ORLADEYO for annual net sales up to $350,000 and (ii) 2.75% of annual net sales for annual net sales between $350,000 and $550,000. No royalty payments are payable on annual Direct Sales over $550,000.</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2020 RPI Royalty Purchase Agreement, RPI is also entitled to receive a tiered revenue share on ORLADEYO sublicense revenue or net sales by licensees outside of the Key Territories (the “Other Markets”) equal to: (i) 20% of the proceeds received by the Company for upfront license fees and development milestones for ORLADEYO in the Other Markets, (ii) 20% of proceeds received on annual net sales of up to $150,000 in the Other Markets, and (iii) 10% of proceeds received by the Company on annual net sales between $150,000 and $230,000 in the Other Markets. No royalty payments are payable on annual net sales above $230,000 in the Other Markets.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November 19, 2021, the Company and RPI entered into (i) a Purchase and Sale Agreement (the “2021 RPI Royalty Purchase Agreement” and together with the 2020 RPI Royalty Purchase Agreement, the “RPI Royalty Purchase Agreements”), pursuant to which the Company sold to RPI the right to receive certain royalty payments from the Company for a purchase price of $150,000 in cash, and (ii) a Purchase and Sale Agreement with OCM IP Healthcare Holdings Limited, an affiliate of OMERS Capital Markets (“OMERS”) (the “OMERS Royalty Purchase Agreement” and collectively with the RPI Royalty Purchase Agreements, the “Royalty Purchase Agreements”), pursuant to which the Company sold to OMERS the right to receive certain royalty payments from the Company for a purchase price of an additional $150,000 in cash.</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2021 RPI Royalty Purchase Agreement, RPI is entitled to receive tiered, sales-based royalties on Direct Sales in an amount equal to: (i) 0.75% of aggregate annual net sales of ORLADEYO for annual net sales up to $350,000 and (ii) 1.75% of annual net sales of ORLADEYO for annual net sales between $350,000 and $550,000. No royalty payments are payable on Direct Sales over $550,000. RPI is also entitled to receive a tiered revenue share on ORLADEYO sublicense revenue or net sales by licensees in the Other Markets in an amount equal to (i) 3.0% of proceeds received by the Company on annual net sales of up to $150,000 in the Other Markets and (ii) 2.0% of proceeds received by the Company on annual net sales between $150,000 and $230,000 in the Other Markets. No royalty payments are payable on annual net sales above $230,000 in the Other Markets.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royalties payable under the 2021 RPI Royalty Purchase Agreement are in addition to the royalties payable to RPI under the 2020 RPI Royalty Purchase Agreement.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Concurrent with entering into the 2021 RPI Royalty Purchase Agreement, the Company and RPI entered into a Common Stock Purchase Agreement pursuant to which the Company sold common stock to RPI for a premium of $4,269. The premium was deferred and is being amortized through interest expense using the effective interest method over the term of the applicable arrangement.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OMERS Royalty Purchase Agreement, for the calendar quarter beginning October 1, 2023, OMERS was entitled to receive tiered, sales-based royalties on Direct Sales in an amount equal to: (i) 7.5% of aggregate annual net sales of ORLADEYO for annual net sales up to $350,000 and (ii) 6.0% of annual net sales of ORLADEYO for annual net sales between $350,000 and $550,000 (with no royalty payments payable on annual Direct Sales over $550,000). Commencing with the calendar quarter beginning January 1, 2024, OMERS is entitled to receive tiered, sales-based royalties on Direct Sales in an amount equal to: (i) 10.0% of aggregate annual net sales of ORLADEYO for annual net sales up to $350,000 and (ii) 3.0% of annual net sales of ORLADEYO for annual net sales between $350,000 and $550,000 (with no royalty payments payable on annual Direct Sales over $550,000).</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OMERS Royalty Purchase Agreement, OMERS is also entitled to receive a tiered revenue share on ORLADEYO sublicense revenue or net sales by licensees in the Other Markets in an amount equal to: (i) 20.0% of the proceeds received by the Company for upfront license fees and development milestones for ORLADEYO in the Other Markets, (ii) 20.0% of proceeds received by the Company on annual net sales of up to $150,000 in the Other Markets, and (iii) 10.0% of proceeds received by the Company on annual net sales between $150,000 and $230,000 in the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Markets. No royalty payments are payable on annual net sales above $230,000 in the Other Markets. OMERS is also entitled to receive profit share amounts of up to 10% from certain other permitted sales in certain other markets.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2020 RPI Royalty Purchase Agreement, the Company is required to make royalty payments of amounts owed to RPI each calendar quarter following the first commercial sale of ORLADEYO in any country. Under the 2021 RPI Royalty Purchase Agreement, the Company is required to make payments to RPI in respect of net sales or sublicense revenue in each calendar quarter from and after October 1, 2021. Under the OMERS Royalty Purchase Agreement, the Company is required to make payments to OMERS in respect of net sales or sublicense revenue in each calendar quarter from and after October 1, 2023. OMERS will no longer be entitled to receive any payments on the date in which aggregate payments actually received by OMERS equals 155.0% of the $150,000 purchase price. As of March 31, 2026, cumulative royalties paid and payable under the OMERS Royalty Purchase Agreement were $103,406.</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transactions contemplated by each of the Royalty Purchase Agreements are referred to herein as the “Royalty Sales”.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Under the Royalty Purchase Agreements, the Company has agreed to specified affirmative and negative covenants, including covenants regarding periodic reporting of information by the Company to RPI and OMERS, third-party audits of royalties paid under the Royalty Purchase Agreements, and restrictions on the ability of the Company or any of its subsidiaries to incur indebtedness other than certain royalty sales and as was permitted to be incurred under the terms of the Pharmakon Loan Agreement (as defined in Note 8 herein) through its payoff and termination on October 8, 2025 or, subsequent to that date, the Blackstone Loan Agreement (as defined in Note 8 herein), as applicable. See “</w:t>
      </w:r>
      <w:r>
        <w:rPr>
          <w:rFonts w:ascii="Times New Roman;serif" w:hAnsi="Times New Roman;serif"/>
          <w:b w:val="false"/>
          <w:i/>
          <w:color w:val="000000"/>
          <w:sz w:val="20"/>
        </w:rPr>
        <w:t>Note 8—Debt</w:t>
      </w:r>
      <w:r>
        <w:rPr>
          <w:color w:val="000000"/>
        </w:rPr>
        <w:t xml:space="preserve">” </w:t>
      </w:r>
      <w:r>
        <w:rPr>
          <w:rFonts w:ascii="Times New Roman;serif" w:hAnsi="Times New Roman;serif"/>
          <w:b w:val="false"/>
          <w:color w:val="000000"/>
          <w:sz w:val="20"/>
        </w:rPr>
        <w:t xml:space="preserve">for further details on the Pharmakon Loan Agreement and Blackstone Loan Agreement. The restrictions under the Royalty Purchase Agreements on the ability of the Company or any of its subsidiaries to incur indebtedness are eliminated after the achievement of certain specified milestones in the Royalty Purchase Agreements.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Stock Purchase Agreement, RPI and OMERS provided their written consent of the consummation of the sale of the Company’s European ORLADEYO business. Concurrent with the closing of the transaction on October 1, 2025, Neopharmed paid a $15,000 royalty release fee to RPI on behalf of the Company and the Company paid a $500 royalty release fee to OMERS. The payments were accounted for as a debt modification and the royalty release fees, totaling $15,500, were capitalized as a reduction to royalty financing obligations and are being amortized as interest expense over the terms of the arrangements using the effective interest rate method. In accordance with the Stock Purchase Agreement, the Company receives quarterly royalty payments from BioCryst Ireland equal to amounts owed under its Royalty Purchase Agreements with RPI and OMERS for the sale of ORLADEYO products in the Territory. During the three months ended March 31, 2026, the Company recognized $3,016 related to the quarterly royalty payments from BioCryst Ireland in license and other revenues in the Condensed Consolidated Statement of Comprehensive (Loss) Income.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cash consideration obtained pursuant to the Royalty Purchase Agreements was recorded in royalty financing obligations in the Company’s Condensed Consolidated Balance Sheets. Deferred financing costs, which consisted primarily of advisory and legal fees, were capitalized as a reduction to royalty financing obligations and are amortized using the effective interest method over the terms of the arrangements. At inception, the royalty financing obligations were measured at fair value based on the Company’s estimates of future royalties expected to be paid to the counterparties over the terms of the arrangements. The Company subsequently records the obligations using the effective interest method. As of March 31, 2026 and December 31, 2025, the carrying values of the royalty financing obligations approximated their fair values and were measured based on the Company’s current estimates of future payments to RPI and OMERS over the lives of the arrangements, which are considered Level 3 inputs. The Company utilizes the prospective method to account for changes in estimated future royalty payments. Under the prospective method, revised estimates of future cash flows result in the determination of new effective interest rates that equate the present value of the revised estimated remaining cash flows with the carrying amounts of the royalty financing obligations. The revised effective interest rate is used prospectively to recognize interest expense for the remaining periods.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periodically assesses the amount and timing of expected royalty payments based on internal projections of future net product sales, which are based on key assumptions, including paid patients and price. If projected royalty payments for the next twelve months exceed interest accretion for the same period, the excess is classified as a current liability in the Company’s Condensed Consolidated Balance Sheets.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there were no significant changes to the amount and timing of expected royalties under the Royalty Purchase Agreements based on the Company’s latest forecasts related to ORLADEYO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royalty financing obligations activity for the three months ended March 31, 2026 as well as the effective interest rate as of March 31, 2026: </w:t>
      </w:r>
    </w:p>
    <w:tbl>
      <w:tblPr>
        <w:tblW w:w="10205" w:type="dxa"/>
        <w:jc w:val="left"/>
        <w:tblInd w:w="0" w:type="dxa"/>
        <w:tblLayout w:type="fixed"/>
        <w:tblCellMar>
          <w:top w:w="28" w:type="dxa"/>
          <w:left w:w="28" w:type="dxa"/>
          <w:bottom w:w="28" w:type="dxa"/>
          <w:right w:w="28" w:type="dxa"/>
        </w:tblCellMar>
      </w:tblPr>
      <w:tblGrid>
        <w:gridCol w:w="1495"/>
        <w:gridCol w:w="1304"/>
        <w:gridCol w:w="1308"/>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156"/>
      </w:tblGrid>
      <w:tr>
        <w:trPr/>
        <w:tc>
          <w:tcPr>
            <w:tcW w:w="149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2020 RPI</w:t>
              <w:br/>
              <w:t>Royalty</w:t>
              <w:br/>
              <w:t>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2021 RPI</w:t>
              <w:br/>
              <w:t>Royalty</w:t>
              <w:br/>
              <w:t>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OMERS</w:t>
              <w:br/>
              <w:t>Royalty</w:t>
              <w:br/>
              <w:t>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465,688 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on royalty financing obligations</w:t>
            </w:r>
          </w:p>
        </w:tc>
        <w:tc>
          <w:tcPr>
            <w:tcW w:w="103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10,111 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13,294 </w:t>
            </w:r>
          </w:p>
        </w:tc>
        <w:tc>
          <w:tcPr>
            <w:tcW w:w="156"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165,538 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171,451 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110,509 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interest rate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paid for interest on the royalty financing obligations was $8,470 and $14,549 for the three months ended March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 xml:space="preserve">Note 8 </w:t>
      </w:r>
      <w:r>
        <w:rPr>
          <w:color w:val="000000"/>
        </w:rPr>
        <w:t xml:space="preserve">— </w:t>
      </w:r>
      <w:r>
        <w:rPr>
          <w:rFonts w:ascii="Times New Roman;serif" w:hAnsi="Times New Roman;serif"/>
          <w:b/>
          <w:color w:val="000000"/>
          <w:sz w:val="20"/>
        </w:rPr>
        <w:t>Debt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Blackstone Loan Agreement</w:t>
      </w:r>
    </w:p>
    <w:p>
      <w:pPr>
        <w:pStyle w:val="TextBody"/>
        <w:bidi w:val="0"/>
        <w:spacing w:lineRule="auto" w:line="288" w:before="200" w:after="283"/>
        <w:ind w:left="0" w:right="0" w:firstLine="540"/>
        <w:jc w:val="left"/>
        <w:rPr/>
      </w:pPr>
      <w:r>
        <w:rPr>
          <w:rFonts w:ascii="Times New Roman;serif" w:hAnsi="Times New Roman;serif"/>
          <w:b w:val="false"/>
          <w:color w:val="000000"/>
          <w:sz w:val="20"/>
        </w:rPr>
        <w:t>On January 23, 2026, the Company entered into a Loan Agreement (the “Blackstone Loan Agreement”) with Blackstone Alternative Credit Advisors LP and Blackstone Life Sciences Advisors L.L.C. (together, “Blackstone”), the guarantors and lenders from time to time party thereto, and Wilmington Trust, National Association, as agent, pursuant to which the Company borrowed $400,000 in aggregate principal amount of term loans (the “Term Loans”). The Term Loans were funded on January 23, 2026 (the “Term Loans Closing Date”), and the proceeds were used to fund the cash portion of the consideration for the acquisition of Astria (see “</w:t>
      </w:r>
      <w:r>
        <w:rPr>
          <w:rFonts w:ascii="Times New Roman;serif" w:hAnsi="Times New Roman;serif"/>
          <w:b w:val="false"/>
          <w:i/>
          <w:color w:val="000000"/>
          <w:sz w:val="20"/>
        </w:rPr>
        <w:t>Note 2—Acquisition of Astria Therapeutics, Inc.”</w:t>
      </w:r>
      <w:r>
        <w:rPr>
          <w:rFonts w:ascii="Times New Roman;serif" w:hAnsi="Times New Roman;serif"/>
          <w:b w:val="false"/>
          <w:color w:val="000000"/>
          <w:sz w:val="20"/>
        </w:rPr>
        <w:t>). Subject to the mutual agreement between the Company, Blackstone and the lenders, the Company may request additional term loans of up to $150,000 in the aggregate.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Term Loans mature on January 23, 2031 (the “Maturity Date”) and require quarterly interest-only payments until the Maturity Date, with outstanding principal due at maturity. Interest accrues at a rate equal to the three-month Secured Overnight Financing Rate (“SOFR”), subject to a floor of 1.75%, plus 4.50% per annum.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second anniversary of the Term Loans Closing Date, and provided that no event of default is ongoing, the Company may elect to pay a portion of the applicable interest payment in-kind (a “Blackstone PIK Interest Payment”) by capitalizing as principal up to 200 basis points of interest accrued during the applicable interest period, subject to an incremental margin increase of 0.50% per annum on the capitalized portion.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required to make a mandatory prepayment of the Term Loans (i) upon the occurrence of a change of control, (ii) upon the incurrence of certain non-permitted indebtedness, (iii) upon the occurrence of certain asset sales (subject to certain exceptions), or (iv) upon the occurrence of certain events of loss related to the assets of the Company or its subsidiaries (subject to certain exceptions). The Company may make voluntary prepayments in whole or in part in an aggregate principal amount of $5,000 or any whole multiple of $1,000 in excess thereof. Prepayments are subject to a prepayment premium that declines over time.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Blackstone Loan Agreement contains representations and warranties and affirmative and negative covenants customary for financings of this type (including a minimum liquidity covenant), as well as customary events of default. A failure to comply with the covenants in the Blackstone Loan Agreement, or an occurrence of any other event of default, could permit the lenders under the Blackstone Loan Agreement to declare the borrowings thereunder, together with accrued interest and fees, and any applicable prepayment premium, to be immediately due and payable.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obligations under the Blackstone Loan Agreement are secured by a security interest in, subject to certain exceptions, substantially all of the Company’s and its subsidiaries’ assets.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 had total borrowings of $400,000 under the Blackstone Loan Agreement. Interest expense accrued on the Term Loans for the three months ended March 31, 2026 totaled $6,174, of which $6,083 was paid at the end of the quarterly period and $91 was included in accrued expenses in the Condensed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Balance Sheet as of March 31, 2026. The Term Loans accrued interest at an effective interest rate of 8.47% during the three months ended March 31, 2026.</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Incurred debt fees and issuance costs associated with the Term Loans under the Blackstone Loan Agreement totaled $4,952 and are being amortized as interest expense on an effective interest rate method over the remaining term of the Term Loans. Deferred financing amortization of $149 was recognized for the three months ended March 31, 2026.</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the debt approximates its carrying value based on prevailing interest rates as of the condensed consolidated balance sheet date and is considered as Level 2 in the fair value hierarchy.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Pharmakon Loan Agreement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April 17, 2023, the Company entered into a $450,000 Loan Agreement (the “Pharmakon Loan Agreement”) with BioPharma Credit Investments V (Master) LP and BPCR Limited Partnership, as lenders, and BioPharma Credit PLC, as collateral agent for the lenders. Certain of the Company’s wholly owned subsidiaries were guarantors to the Pharmakon Loan Agreement. The Pharmakon Loan Agreement provided for an initial term loan in the principal amount of $300,000 (the “Tranche A Loan”) funded on April 17, 2023 (the “Tranche A Closing Date”). The Company used a portion of the proceeds from the Tranche A Loan to repay the $241,787 of outstanding indebtedness (principal and interest due as of April 17, 2023) under the then-existing credit facility with Athyrium Opportunities III Co-Invest 1 LP (the “Athyrium Credit Agreement”) and to pay associated transaction costs and fees, and used the remaining net proceeds of $25,805 for other general corporate purposes.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Pharmakon Loan Agreement provided for quarterly interest-only payments until the maturity date of April 17, 2028, with the unpaid principal amount of the outstanding Tranche A Loan due and payable on the maturity date. During the first 18 months following the Tranche A Closing Date, the Company had the option to make a portion of the applicable interest payment on the Tranche A Loan in-kind (a “Pharmakon PIK Interest Payment”) by capitalizing as principal up to 50% of the amount of interest accrued on the Tranche A Loan during the applicable interest period. The Tranche A Loan bore interest at a rate equal to the three-month SOFR, which could be no less than 1.75%, plus 7.00%, per annum or, for each interest period in which a Pharmakon PIK Interest Payment was made, with respect to the Tranche A Loan, SOFR plus 7.25%, per annum.</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Tranche A Loan accrued interest at an effective interest rate of 12.31% for the three months ended March 31, 2025. Interest expense on the Tranche A Loan for the three months ended March 31, 2025 was $9,153, all of which was paid at the end of the quarterly period. Deferred financing amortization of $544 was recognized for the three months ended March 31, 2025.</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2025, the Company paid off in full the outstanding principal balance on the Tranche A Loan in three separate prepayments totaling $323,704.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 xml:space="preserve">Note 9 </w:t>
      </w:r>
      <w:r>
        <w:rPr>
          <w:color w:val="000000"/>
        </w:rPr>
        <w:t xml:space="preserve">— </w:t>
      </w:r>
      <w:r>
        <w:rPr>
          <w:rFonts w:ascii="Times New Roman;serif" w:hAnsi="Times New Roman;serif"/>
          <w:b/>
          <w:color w:val="000000"/>
          <w:sz w:val="20"/>
        </w:rPr>
        <w:t xml:space="preserve">Lease Obligations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leases certain assets under operating leases, which primarily consist of real estate leases, and finance leases, which generally consist of laboratory equipment leases and office equipment leases. The Company’s real estate agreements expire at various times between 2028 through 2033 and its Birmingham and Durham leases include renewal options that range from three to five years in length.</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Lease expense under operating and finance leases was as follows:</w:t>
      </w:r>
    </w:p>
    <w:tbl>
      <w:tblPr>
        <w:tblW w:w="5712" w:type="dxa"/>
        <w:jc w:val="left"/>
        <w:tblInd w:w="0" w:type="dxa"/>
        <w:tblLayout w:type="fixed"/>
        <w:tblCellMar>
          <w:top w:w="28" w:type="dxa"/>
          <w:left w:w="28" w:type="dxa"/>
          <w:bottom w:w="28" w:type="dxa"/>
          <w:right w:w="28" w:type="dxa"/>
        </w:tblCellMar>
      </w:tblPr>
      <w:tblGrid>
        <w:gridCol w:w="1043"/>
        <w:gridCol w:w="916"/>
        <w:gridCol w:w="921"/>
        <w:gridCol w:w="307"/>
        <w:gridCol w:w="679"/>
        <w:gridCol w:w="159"/>
        <w:gridCol w:w="159"/>
        <w:gridCol w:w="159"/>
        <w:gridCol w:w="159"/>
        <w:gridCol w:w="307"/>
        <w:gridCol w:w="679"/>
        <w:gridCol w:w="224"/>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expense:</w:t>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 of use assets</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expense</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supplemental information related to leases was as follows:</w:t>
      </w:r>
    </w:p>
    <w:tbl>
      <w:tblPr>
        <w:tblW w:w="6910" w:type="dxa"/>
        <w:jc w:val="left"/>
        <w:tblInd w:w="0" w:type="dxa"/>
        <w:tblLayout w:type="fixed"/>
        <w:tblCellMar>
          <w:top w:w="28" w:type="dxa"/>
          <w:left w:w="28" w:type="dxa"/>
          <w:bottom w:w="28" w:type="dxa"/>
          <w:right w:w="28" w:type="dxa"/>
        </w:tblCellMar>
      </w:tblPr>
      <w:tblGrid>
        <w:gridCol w:w="1220"/>
        <w:gridCol w:w="1074"/>
        <w:gridCol w:w="1081"/>
        <w:gridCol w:w="319"/>
        <w:gridCol w:w="319"/>
        <w:gridCol w:w="801"/>
        <w:gridCol w:w="109"/>
        <w:gridCol w:w="109"/>
        <w:gridCol w:w="109"/>
        <w:gridCol w:w="360"/>
        <w:gridCol w:w="360"/>
        <w:gridCol w:w="1049"/>
      </w:tblGrid>
      <w:tr>
        <w:trPr/>
        <w:tc>
          <w:tcPr>
            <w:tcW w:w="122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years</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years</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Maturities of lease liabilities as of March 31, 2026 are as follows: </w:t>
      </w:r>
    </w:p>
    <w:tbl>
      <w:tblPr>
        <w:tblW w:w="5200" w:type="dxa"/>
        <w:jc w:val="left"/>
        <w:tblInd w:w="0" w:type="dxa"/>
        <w:tblLayout w:type="fixed"/>
        <w:tblCellMar>
          <w:top w:w="28" w:type="dxa"/>
          <w:left w:w="28" w:type="dxa"/>
          <w:bottom w:w="28" w:type="dxa"/>
          <w:right w:w="28" w:type="dxa"/>
        </w:tblCellMar>
      </w:tblPr>
      <w:tblGrid>
        <w:gridCol w:w="668"/>
        <w:gridCol w:w="586"/>
        <w:gridCol w:w="591"/>
        <w:gridCol w:w="322"/>
        <w:gridCol w:w="1101"/>
        <w:gridCol w:w="166"/>
        <w:gridCol w:w="109"/>
        <w:gridCol w:w="109"/>
        <w:gridCol w:w="109"/>
        <w:gridCol w:w="309"/>
        <w:gridCol w:w="904"/>
        <w:gridCol w:w="226"/>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Leases</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7,434 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18,962 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12,980 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2,408 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w:t>
      </w:r>
    </w:p>
    <w:tbl>
      <w:tblPr>
        <w:tblW w:w="8890" w:type="dxa"/>
        <w:jc w:val="left"/>
        <w:tblInd w:w="0" w:type="dxa"/>
        <w:tblLayout w:type="fixed"/>
        <w:tblCellMar>
          <w:top w:w="28" w:type="dxa"/>
          <w:left w:w="28" w:type="dxa"/>
          <w:bottom w:w="28" w:type="dxa"/>
          <w:right w:w="28" w:type="dxa"/>
        </w:tblCellMar>
      </w:tblPr>
      <w:tblGrid>
        <w:gridCol w:w="2197"/>
        <w:gridCol w:w="1926"/>
        <w:gridCol w:w="1936"/>
        <w:gridCol w:w="285"/>
        <w:gridCol w:w="834"/>
        <w:gridCol w:w="147"/>
        <w:gridCol w:w="147"/>
        <w:gridCol w:w="147"/>
        <w:gridCol w:w="147"/>
        <w:gridCol w:w="285"/>
        <w:gridCol w:w="631"/>
        <w:gridCol w:w="208"/>
      </w:tblGrid>
      <w:tr>
        <w:trPr/>
        <w:tc>
          <w:tcPr>
            <w:tcW w:w="2197"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finance leases</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obtained in exchange for operating lease liabilities</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 obtained in exchange for finance lease liabilities</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 xml:space="preserve">Note 10 </w:t>
      </w:r>
      <w:r>
        <w:rPr>
          <w:color w:val="000000"/>
        </w:rPr>
        <w:t xml:space="preserve">— </w:t>
      </w:r>
      <w:r>
        <w:rPr>
          <w:rFonts w:ascii="Times New Roman;serif" w:hAnsi="Times New Roman;serif"/>
          <w:b/>
          <w:color w:val="000000"/>
          <w:sz w:val="20"/>
        </w:rPr>
        <w:t>Stockholders</w:t>
      </w:r>
      <w:r>
        <w:rPr>
          <w:color w:val="000000"/>
        </w:rPr>
        <w:t xml:space="preserve">’ </w:t>
      </w:r>
      <w:r>
        <w:rPr>
          <w:rFonts w:ascii="Times New Roman;serif" w:hAnsi="Times New Roman;serif"/>
          <w:b/>
          <w:color w:val="000000"/>
          <w:sz w:val="20"/>
        </w:rPr>
        <w:t>Equity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Issuance of Common Stock</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20, 2025, the Company filed with the SEC, and amended on December 15, 2025, a registration statement on Form S-4. This registration statement was declared effective by the SEC on December 18, 2025 and registered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the Company’s offer of up to 45,000 shares of the Company’s common stock in connection with the Merger (as defined in “</w:t>
      </w:r>
      <w:r>
        <w:rPr>
          <w:rFonts w:ascii="Times New Roman;serif" w:hAnsi="Times New Roman;serif"/>
          <w:b w:val="false"/>
          <w:i/>
          <w:color w:val="000000"/>
          <w:sz w:val="20"/>
        </w:rPr>
        <w:t>Note 2—Acquisition of Astria Therapeutics, Inc.”</w:t>
      </w:r>
      <w:r>
        <w:rPr>
          <w:color w:val="000000"/>
        </w:rPr>
        <w:t xml:space="preserve"> </w:t>
      </w:r>
      <w:r>
        <w:rPr>
          <w:rFonts w:ascii="Times New Roman;serif" w:hAnsi="Times New Roman;serif"/>
          <w:b w:val="false"/>
          <w:color w:val="000000"/>
          <w:sz w:val="20"/>
        </w:rPr>
        <w:t>herein).</w:t>
      </w:r>
    </w:p>
    <w:p>
      <w:pPr>
        <w:pStyle w:val="TextBody"/>
        <w:bidi w:val="0"/>
        <w:spacing w:lineRule="auto" w:line="288" w:before="240" w:after="283"/>
        <w:ind w:left="0" w:right="0" w:firstLine="540"/>
        <w:jc w:val="left"/>
        <w:rPr/>
      </w:pPr>
      <w:r>
        <w:rPr>
          <w:rFonts w:ascii="Times New Roman;serif" w:hAnsi="Times New Roman;serif"/>
          <w:b w:val="false"/>
          <w:color w:val="000000"/>
          <w:sz w:val="20"/>
        </w:rPr>
        <w:t>On January 23, 2026, the Company issued 37,282 shares of common stock to Astria’s equity holders in connection with the Merger (see “</w:t>
      </w:r>
      <w:r>
        <w:rPr>
          <w:rFonts w:ascii="Times New Roman;serif" w:hAnsi="Times New Roman;serif"/>
          <w:b w:val="false"/>
          <w:i/>
          <w:color w:val="000000"/>
          <w:sz w:val="20"/>
        </w:rPr>
        <w:t>Note 2—Acquisition of Astria Therapeutics, Inc.”</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Shares Reserved for Future Issuance of Common Stock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had reserved shares of common stock for issuance as follows:</w:t>
      </w:r>
    </w:p>
    <w:tbl>
      <w:tblPr>
        <w:tblW w:w="10104" w:type="dxa"/>
        <w:jc w:val="left"/>
        <w:tblInd w:w="0" w:type="dxa"/>
        <w:tblLayout w:type="fixed"/>
        <w:tblCellMar>
          <w:top w:w="28" w:type="dxa"/>
          <w:left w:w="28" w:type="dxa"/>
          <w:bottom w:w="28" w:type="dxa"/>
          <w:right w:w="28" w:type="dxa"/>
        </w:tblCellMar>
      </w:tblPr>
      <w:tblGrid>
        <w:gridCol w:w="2379"/>
        <w:gridCol w:w="2092"/>
        <w:gridCol w:w="2098"/>
        <w:gridCol w:w="479"/>
        <w:gridCol w:w="479"/>
        <w:gridCol w:w="481"/>
        <w:gridCol w:w="109"/>
        <w:gridCol w:w="109"/>
        <w:gridCol w:w="109"/>
        <w:gridCol w:w="517"/>
        <w:gridCol w:w="517"/>
        <w:gridCol w:w="735"/>
      </w:tblGrid>
      <w:tr>
        <w:trPr/>
        <w:tc>
          <w:tcPr>
            <w:tcW w:w="2379"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6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exercises of outstanding stock options</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38,606 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43,344 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vesting of restricted stock units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12,190 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12,166 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future issuance under the Stock Incentive Plan</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8,337 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6,852 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Shares reserved for future issuance under the Inducement Equity Incentive Plan </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future issuance under the Employee Stock Purchase Plan</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4,475 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4,674 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reserved for future issuance</w:t>
            </w:r>
          </w:p>
        </w:tc>
        <w:tc>
          <w:tcPr>
            <w:tcW w:w="9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64,825 </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68,496 </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 xml:space="preserve">Note 11 </w:t>
      </w:r>
      <w:r>
        <w:rPr>
          <w:color w:val="000000"/>
        </w:rPr>
        <w:t xml:space="preserve">— </w:t>
      </w:r>
      <w:r>
        <w:rPr>
          <w:rFonts w:ascii="Times New Roman;serif" w:hAnsi="Times New Roman;serif"/>
          <w:b/>
          <w:color w:val="000000"/>
          <w:sz w:val="20"/>
        </w:rPr>
        <w:t>Stock-Based Compensation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March 31, 2026, the Company had three stock-based employee compensation plans: the Amended and Restated Stock Incentive Plan (“Incentive Plan”), the Amended and Restated Inducement Equity Incentive Plan (“Inducement Plan”) and the Amended and Restated Employee Stock Purchase Plan (“ESPP”). The Incentive Plan was most recently amended and restated on April 20, 2026, subject to stockholder approval at the Company’s annual meeting of stockholders to be held on June 11, 2026. The Inducement Plan was most recently amended and restated by the Company’s Board of Directors on October 26, 2023. The ESPP was most recently amended and restated by the Company’s Board of Directors on July 7, 2023.</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recorded the following stock-based compensation expense:</w:t>
      </w:r>
    </w:p>
    <w:tbl>
      <w:tblPr>
        <w:tblW w:w="6572" w:type="dxa"/>
        <w:jc w:val="left"/>
        <w:tblInd w:w="0" w:type="dxa"/>
        <w:tblLayout w:type="fixed"/>
        <w:tblCellMar>
          <w:top w:w="28" w:type="dxa"/>
          <w:left w:w="28" w:type="dxa"/>
          <w:bottom w:w="28" w:type="dxa"/>
          <w:right w:w="28" w:type="dxa"/>
        </w:tblCellMar>
      </w:tblPr>
      <w:tblGrid>
        <w:gridCol w:w="1251"/>
        <w:gridCol w:w="1097"/>
        <w:gridCol w:w="1102"/>
        <w:gridCol w:w="486"/>
        <w:gridCol w:w="338"/>
        <w:gridCol w:w="338"/>
        <w:gridCol w:w="251"/>
        <w:gridCol w:w="251"/>
        <w:gridCol w:w="251"/>
        <w:gridCol w:w="486"/>
        <w:gridCol w:w="298"/>
        <w:gridCol w:w="423"/>
      </w:tblGrid>
      <w:tr>
        <w:trPr/>
        <w:tc>
          <w:tcPr>
            <w:tcW w:w="125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 Plan</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14,501</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19,232</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Inducement Plan</w:t>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1,367</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1,932</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16,027</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21,368</w:t>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Extension of Exercise Period</w:t>
      </w:r>
    </w:p>
    <w:p>
      <w:pPr>
        <w:pStyle w:val="TextBody"/>
        <w:bidi w:val="0"/>
        <w:spacing w:lineRule="auto" w:line="276" w:before="240" w:after="283"/>
        <w:ind w:left="0" w:right="0" w:firstLine="540"/>
        <w:jc w:val="left"/>
        <w:rPr/>
      </w:pPr>
      <w:r>
        <w:rPr>
          <w:rFonts w:ascii="Times New Roman;serif" w:hAnsi="Times New Roman;serif"/>
          <w:b w:val="false"/>
          <w:color w:val="000000"/>
          <w:sz w:val="20"/>
        </w:rPr>
        <w:t xml:space="preserve">In December 2025, the Company extended the post-termination exercise period of certain vested stock option awards at the time of retirement for certain individuals to the original expiration date of the option awards. The Company considered this to be a modification of existing awards under ASC Topic 718, </w:t>
      </w:r>
      <w:r>
        <w:rPr>
          <w:rFonts w:ascii="Times New Roman;serif" w:hAnsi="Times New Roman;serif"/>
          <w:b w:val="false"/>
          <w:i/>
          <w:color w:val="000000"/>
          <w:sz w:val="20"/>
        </w:rPr>
        <w:t>Compensation - Stock Compensation</w:t>
      </w:r>
      <w:r>
        <w:rPr>
          <w:color w:val="000000"/>
        </w:rPr>
        <w:t xml:space="preserve"> </w:t>
      </w:r>
      <w:r>
        <w:rPr>
          <w:rFonts w:ascii="Times New Roman;serif" w:hAnsi="Times New Roman;serif"/>
          <w:b w:val="false"/>
          <w:color w:val="000000"/>
          <w:sz w:val="20"/>
        </w:rPr>
        <w:t>(“Topic 718”) and determined the incremental fair value associated with the modification using a binomial lattice model. In connection with the modification, the Company recognized incremental stock-based compensation expense of $3,584 during the three months ended March 31, 2026.</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Sale of the European ORLADEYO Business</w:t>
      </w:r>
    </w:p>
    <w:p>
      <w:pPr>
        <w:pStyle w:val="TextBody"/>
        <w:bidi w:val="0"/>
        <w:spacing w:lineRule="auto" w:line="27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sale of the European ORLADEYO business on October 1, 2025, the Company modified certain outstanding stock option awards and restricted stock unit awards held by employees who transferred to Neopharmed. Under the original terms of the Company’s Incentive Plan and Inducement Plan, unvested awards would have been forfeited upon the employees’ termination with the Company at closing. As part of the transaction,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approved modifications that (i) allowed previously unvested awards to continue to vest based on continued service to Neopharmed after Closing and (ii) extended the post-termination exercise period for certain vested stock option awards.</w:t>
      </w:r>
    </w:p>
    <w:p>
      <w:pPr>
        <w:pStyle w:val="TextBody"/>
        <w:bidi w:val="0"/>
        <w:spacing w:lineRule="auto" w:line="27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modified awards vest, and for certain vested stock options remain exercisable, only if the employees remain employed by Neopharmed for specified periods following the closing of the transaction. Because the vesting of the modified awards depends on service to Neopharmed, the awards contain an “other” condition under Topic 718 and are therefore classified as liability awards until the required service to Neopharmed is provided.</w:t>
      </w:r>
    </w:p>
    <w:p>
      <w:pPr>
        <w:pStyle w:val="TextBody"/>
        <w:bidi w:val="0"/>
        <w:spacing w:lineRule="auto" w:line="27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accounted for the continued vesting of unvested awards as a Type III modification under Topic 718 and measured the awards at their modification-date fair value. The extension of the post-termination exercise period for certain vested stock option awards was accounted for as a Type I modification under Topic 718, with the incremental fair value measured on the modification date.</w:t>
      </w:r>
    </w:p>
    <w:p>
      <w:pPr>
        <w:pStyle w:val="TextBody"/>
        <w:bidi w:val="0"/>
        <w:spacing w:lineRule="auto" w:line="27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liability for the modified awards is remeasured to fair value each reporting period. The options are valued using a Black-Scholes option pricing model which incorporates significant unobservable inputs. This remeasurement resulted in the recognition of a $2,807 loss in other expense, net in the Consolidated Statement of Comprehensive (Loss) Income and a $637 decrease to additional paid-in capital during the three months ended March 31, 2026. </w:t>
      </w:r>
    </w:p>
    <w:p>
      <w:pPr>
        <w:pStyle w:val="TextBody"/>
        <w:bidi w:val="0"/>
        <w:spacing w:lineRule="auto" w:line="27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beginning and ending balances of recurring fair value measurements recognized in the Condensed Consolidated Balance Sheets using Level 3 inputs:</w:t>
      </w:r>
    </w:p>
    <w:tbl>
      <w:tblPr>
        <w:tblW w:w="4401" w:type="dxa"/>
        <w:jc w:val="left"/>
        <w:tblInd w:w="0" w:type="dxa"/>
        <w:tblLayout w:type="fixed"/>
        <w:tblCellMar>
          <w:top w:w="28" w:type="dxa"/>
          <w:left w:w="28" w:type="dxa"/>
          <w:bottom w:w="28" w:type="dxa"/>
          <w:right w:w="28" w:type="dxa"/>
        </w:tblCellMar>
      </w:tblPr>
      <w:tblGrid>
        <w:gridCol w:w="1200"/>
        <w:gridCol w:w="1054"/>
        <w:gridCol w:w="1061"/>
        <w:gridCol w:w="211"/>
        <w:gridCol w:w="721"/>
        <w:gridCol w:w="154"/>
      </w:tblGrid>
      <w:tr>
        <w:trPr/>
        <w:tc>
          <w:tcPr>
            <w:tcW w:w="120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share-based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 Incentive Plan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under the Incentive Plan:</w:t>
      </w:r>
    </w:p>
    <w:tbl>
      <w:tblPr>
        <w:tblW w:w="10205" w:type="dxa"/>
        <w:jc w:val="left"/>
        <w:tblInd w:w="0" w:type="dxa"/>
        <w:tblLayout w:type="fixed"/>
        <w:tblCellMar>
          <w:top w:w="28" w:type="dxa"/>
          <w:left w:w="28" w:type="dxa"/>
          <w:bottom w:w="28" w:type="dxa"/>
          <w:right w:w="28" w:type="dxa"/>
        </w:tblCellMar>
      </w:tblPr>
      <w:tblGrid>
        <w:gridCol w:w="684"/>
        <w:gridCol w:w="601"/>
        <w:gridCol w:w="604"/>
        <w:gridCol w:w="413"/>
        <w:gridCol w:w="360"/>
        <w:gridCol w:w="362"/>
        <w:gridCol w:w="109"/>
        <w:gridCol w:w="109"/>
        <w:gridCol w:w="109"/>
        <w:gridCol w:w="542"/>
        <w:gridCol w:w="1316"/>
        <w:gridCol w:w="282"/>
        <w:gridCol w:w="109"/>
        <w:gridCol w:w="109"/>
        <w:gridCol w:w="109"/>
        <w:gridCol w:w="812"/>
        <w:gridCol w:w="812"/>
        <w:gridCol w:w="814"/>
        <w:gridCol w:w="109"/>
        <w:gridCol w:w="109"/>
        <w:gridCol w:w="109"/>
        <w:gridCol w:w="313"/>
        <w:gridCol w:w="1072"/>
        <w:gridCol w:w="237"/>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Contractual 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br/>
              <w:t>(in thousands)</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7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38,664 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7,362 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 or Forfeited</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March 31, 2026</w:t>
            </w:r>
          </w:p>
        </w:tc>
        <w:tc>
          <w:tcPr>
            <w:tcW w:w="7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34,935 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71,010 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March 31, 2026</w:t>
            </w:r>
          </w:p>
        </w:tc>
        <w:tc>
          <w:tcPr>
            <w:tcW w:w="77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23,203 </w:t>
            </w:r>
          </w:p>
        </w:tc>
        <w:tc>
          <w:tcPr>
            <w:tcW w:w="3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28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45,828 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restricted stock unit activity under the Incentive Plan:</w:t>
      </w:r>
    </w:p>
    <w:tbl>
      <w:tblPr>
        <w:tblW w:w="7975" w:type="dxa"/>
        <w:jc w:val="left"/>
        <w:tblInd w:w="0" w:type="dxa"/>
        <w:tblLayout w:type="fixed"/>
        <w:tblCellMar>
          <w:top w:w="28" w:type="dxa"/>
          <w:left w:w="28" w:type="dxa"/>
          <w:bottom w:w="28" w:type="dxa"/>
          <w:right w:w="28" w:type="dxa"/>
        </w:tblCellMar>
      </w:tblPr>
      <w:tblGrid>
        <w:gridCol w:w="977"/>
        <w:gridCol w:w="858"/>
        <w:gridCol w:w="864"/>
        <w:gridCol w:w="424"/>
        <w:gridCol w:w="424"/>
        <w:gridCol w:w="426"/>
        <w:gridCol w:w="109"/>
        <w:gridCol w:w="109"/>
        <w:gridCol w:w="109"/>
        <w:gridCol w:w="883"/>
        <w:gridCol w:w="2142"/>
        <w:gridCol w:w="650"/>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Shares </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11,141 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March 31, 2026</w:t>
            </w:r>
          </w:p>
        </w:tc>
        <w:tc>
          <w:tcPr>
            <w:tcW w:w="8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10,829 </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restricted stock unit awards granted under the Incentive Plan, the fair value of the awards is determined based on the market value of the Company’s shares on the grant date. The weighted average grant date fair value of these awards granted during the three months ended March 31, 2026 and 2025 was $6.84 and $8.96, respectively. The fair value of the restricted stock unit awards is amortized to expense over the vesting periods using a straight-line expense attribution method.</w:t>
      </w:r>
    </w:p>
    <w:p>
      <w:pPr>
        <w:pStyle w:val="TextBody"/>
        <w:bidi w:val="0"/>
        <w:spacing w:lineRule="auto" w:line="288" w:before="200" w:after="283"/>
        <w:jc w:val="left"/>
        <w:rPr/>
      </w:pPr>
      <w:r>
        <w:rPr>
          <w:rFonts w:ascii="Times New Roman;serif" w:hAnsi="Times New Roman;serif"/>
          <w:b/>
          <w:i/>
          <w:color w:val="000000"/>
          <w:sz w:val="20"/>
        </w:rPr>
        <w:t>Inducement Equity Incentive Plan</w:t>
      </w:r>
      <w:r>
        <w:rPr>
          <w:color w:val="000000"/>
        </w:rPr>
        <w:t xml:space="preserve">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under the Inducement Plan:</w:t>
      </w:r>
    </w:p>
    <w:tbl>
      <w:tblPr>
        <w:tblW w:w="10205" w:type="dxa"/>
        <w:jc w:val="left"/>
        <w:tblInd w:w="0" w:type="dxa"/>
        <w:tblLayout w:type="fixed"/>
        <w:tblCellMar>
          <w:top w:w="28" w:type="dxa"/>
          <w:left w:w="28" w:type="dxa"/>
          <w:bottom w:w="28" w:type="dxa"/>
          <w:right w:w="28" w:type="dxa"/>
        </w:tblCellMar>
      </w:tblPr>
      <w:tblGrid>
        <w:gridCol w:w="690"/>
        <w:gridCol w:w="606"/>
        <w:gridCol w:w="609"/>
        <w:gridCol w:w="361"/>
        <w:gridCol w:w="361"/>
        <w:gridCol w:w="363"/>
        <w:gridCol w:w="109"/>
        <w:gridCol w:w="109"/>
        <w:gridCol w:w="109"/>
        <w:gridCol w:w="548"/>
        <w:gridCol w:w="1331"/>
        <w:gridCol w:w="286"/>
        <w:gridCol w:w="109"/>
        <w:gridCol w:w="109"/>
        <w:gridCol w:w="109"/>
        <w:gridCol w:w="821"/>
        <w:gridCol w:w="821"/>
        <w:gridCol w:w="823"/>
        <w:gridCol w:w="109"/>
        <w:gridCol w:w="109"/>
        <w:gridCol w:w="109"/>
        <w:gridCol w:w="341"/>
        <w:gridCol w:w="1001"/>
        <w:gridCol w:w="262"/>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Contractual 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br/>
              <w:t>(in thousands)</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4,680 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 or Forfeited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March 31, 2026</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8,981 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March 31, 2026</w:t>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2,496 </w:t>
            </w:r>
          </w:p>
        </w:tc>
        <w:tc>
          <w:tcPr>
            <w:tcW w:w="3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6,497 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restricted stock unit activity under the Inducement Plan:</w:t>
      </w:r>
    </w:p>
    <w:tbl>
      <w:tblPr>
        <w:tblW w:w="7975" w:type="dxa"/>
        <w:jc w:val="left"/>
        <w:tblInd w:w="0" w:type="dxa"/>
        <w:tblLayout w:type="fixed"/>
        <w:tblCellMar>
          <w:top w:w="28" w:type="dxa"/>
          <w:left w:w="28" w:type="dxa"/>
          <w:bottom w:w="28" w:type="dxa"/>
          <w:right w:w="28" w:type="dxa"/>
        </w:tblCellMar>
      </w:tblPr>
      <w:tblGrid>
        <w:gridCol w:w="977"/>
        <w:gridCol w:w="858"/>
        <w:gridCol w:w="864"/>
        <w:gridCol w:w="424"/>
        <w:gridCol w:w="424"/>
        <w:gridCol w:w="426"/>
        <w:gridCol w:w="109"/>
        <w:gridCol w:w="109"/>
        <w:gridCol w:w="109"/>
        <w:gridCol w:w="883"/>
        <w:gridCol w:w="2142"/>
        <w:gridCol w:w="650"/>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March 31, 2026</w:t>
            </w:r>
          </w:p>
        </w:tc>
        <w:tc>
          <w:tcPr>
            <w:tcW w:w="8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restricted stock unit awards granted under the Inducement Plan, the fair value of the awards is determined based on the market value of the Company’s shares on the grant date. The weighted average grant date fair value of these awards granted during the three months ended March 31, 2026 and 2025 was $6.96 and $8.35, respectively. The fair value of the restricted stock unit awards is amortized to expense over the vesting periods using a straight-line expense attribution method.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pPr>
      <w:r>
        <w:rPr>
          <w:rFonts w:ascii="Times New Roman;serif" w:hAnsi="Times New Roman;serif"/>
          <w:b/>
          <w:color w:val="000000"/>
          <w:sz w:val="20"/>
        </w:rPr>
        <w:t>Note 12</w:t>
      </w:r>
      <w:r>
        <w:rPr>
          <w:color w:val="000000"/>
        </w:rPr>
        <w:t xml:space="preserve"> — </w:t>
      </w:r>
      <w:r>
        <w:rPr>
          <w:rFonts w:ascii="Times New Roman;serif" w:hAnsi="Times New Roman;serif"/>
          <w:b/>
          <w:color w:val="000000"/>
          <w:sz w:val="20"/>
        </w:rPr>
        <w:t>Collaborative and Other Relationships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Navenibart</w:t>
      </w:r>
    </w:p>
    <w:p>
      <w:pPr>
        <w:pStyle w:val="TextBody"/>
        <w:bidi w:val="0"/>
        <w:spacing w:lineRule="auto" w:line="288" w:before="20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Kaken Pharmaceutical, Co., Ltd. (“Kaken”)</w:t>
      </w:r>
    </w:p>
    <w:p>
      <w:pPr>
        <w:pStyle w:val="TextBody"/>
        <w:bidi w:val="0"/>
        <w:spacing w:lineRule="auto" w:line="288" w:before="200" w:after="283"/>
        <w:ind w:left="0" w:right="0" w:firstLine="540"/>
        <w:jc w:val="left"/>
        <w:rPr/>
      </w:pPr>
      <w:r>
        <w:rPr>
          <w:rFonts w:ascii="Times New Roman;serif" w:hAnsi="Times New Roman;serif"/>
          <w:b w:val="false"/>
          <w:color w:val="000000"/>
          <w:sz w:val="20"/>
        </w:rPr>
        <w:t>On August 6, 2025, Astria, which became a wholly owned subsidiary of the Company on January 23, 2026 (see “</w:t>
      </w:r>
      <w:r>
        <w:rPr>
          <w:rFonts w:ascii="Times New Roman;serif" w:hAnsi="Times New Roman;serif"/>
          <w:b w:val="false"/>
          <w:i/>
          <w:color w:val="000000"/>
          <w:sz w:val="20"/>
        </w:rPr>
        <w:t>Note 2—Acquisition of Astria Therapeutics, Inc.</w:t>
      </w:r>
      <w:r>
        <w:rPr>
          <w:color w:val="000000"/>
        </w:rPr>
        <w:t>”</w:t>
      </w:r>
      <w:r>
        <w:rPr>
          <w:rFonts w:ascii="Times New Roman;serif" w:hAnsi="Times New Roman;serif"/>
          <w:b w:val="false"/>
          <w:color w:val="000000"/>
          <w:sz w:val="20"/>
        </w:rPr>
        <w:t>), entered into a license agreement with Kaken (the “Kaken License Agreement”), granting Kaken an exclusive license to develop, package, and commercialize navenibart (the “Navenibart Licensed Product”) for the prevention of HAE attacks in humans in Japan. The Kaken License Agreement included an upfront payment of $16,000, potential commercialization and sales milestone payments of $16,000, and tiered royalties ranging from 15% to 30% of annual net sales of the Navenibart Licensed Product in Japan. Under the terms of the Kaken License agreement, Kaken will also provide support for the Phase 3 trial in Japan, be responsible for regulatory submissions in Japan, and provide reimbursement for a portion of the costs associated with the navenibart Phase 3 program.</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accordance with Topic 606, two performance obligations were identified under the agreement: (i) the performance of research and development services and (ii) the delivery of the license. The Company re-evaluates the transaction price at the end of each reporting period and adjusts the estimate as changes in circumstances occur. As of March 31, 2026, the estimated transaction price was determined to be approximately $23,067, consisting of fixed consideration of $16,000 related to the upfront payment and variable consideration of $7,067 related to the estimated reimbursement of research and development services. Variable consideration is estimated each reporting period using the expected value method based on the most current forecasts. Potential milestone payments and sales-based royalties were excluded from the transaction price as they were constrained and will be recognized if and when the related milestones or sales occur.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 allocated $20,667 of the transaction price to the research and development services and the remaining $2,400 was allocated to delivery of the license. The fixed consideration was allocated to the performance obligations based on their relative standalone selling price. The variable consideration was allocated to the performance obligation to which it is determined to be related, which is the reimbursement of research and development services to be incurred.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 allocated to the research and development services is recognized over time using an input method based on costs incurred. Revenue allocated to the license will be recognized at the point in time in which control of the Navenibart Licensed Product is transferred to Kaken. During three months ended March 31, 2026, the Company recognized $1,199 of collaboration revenue related to the Kaken License Agreement in license and other revenues in the Condensed Consolidated Statement of Comprehensive (Loss) Income. As of March 31, 2026, the Company recorded $14,240 of deferred revenue related to the upfront payment and cost-sharing reimbursements, of which $5,409 is classified as current and $8,831 is classified as non-current in the Condensed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pPr>
      <w:r>
        <w:rPr>
          <w:rFonts w:ascii="Times New Roman;serif" w:hAnsi="Times New Roman;serif"/>
          <w:b/>
          <w:color w:val="000000"/>
          <w:sz w:val="20"/>
        </w:rPr>
        <w:t xml:space="preserve">Note 13 </w:t>
      </w:r>
      <w:r>
        <w:rPr>
          <w:color w:val="000000"/>
        </w:rPr>
        <w:t xml:space="preserve">— </w:t>
      </w:r>
      <w:r>
        <w:rPr>
          <w:rFonts w:ascii="Times New Roman;serif" w:hAnsi="Times New Roman;serif"/>
          <w:b/>
          <w:color w:val="000000"/>
          <w:sz w:val="20"/>
        </w:rPr>
        <w:t>Workforce Reduction</w:t>
      </w:r>
    </w:p>
    <w:p>
      <w:pPr>
        <w:pStyle w:val="TextBody"/>
        <w:bidi w:val="0"/>
        <w:spacing w:lineRule="auto" w:line="27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2025, the Company had a workforce reduction. The majority of the impacted employees had termination dates in December 2025, with certain employees exiting in the first quarter of 2026. The Company notified all impacted employees in December 2025. </w:t>
      </w:r>
    </w:p>
    <w:p>
      <w:pPr>
        <w:pStyle w:val="TextBody"/>
        <w:bidi w:val="0"/>
        <w:spacing w:lineRule="auto" w:line="276" w:before="240" w:after="283"/>
        <w:ind w:left="0" w:right="0" w:firstLine="540"/>
        <w:jc w:val="left"/>
        <w:rPr/>
      </w:pPr>
      <w:r>
        <w:rPr>
          <w:rFonts w:ascii="Times New Roman;serif" w:hAnsi="Times New Roman;serif"/>
          <w:b w:val="false"/>
          <w:color w:val="000000"/>
          <w:sz w:val="20"/>
        </w:rPr>
        <w:t xml:space="preserve">In accordance with ASC Topic 712, </w:t>
      </w:r>
      <w:r>
        <w:rPr>
          <w:rFonts w:ascii="Times New Roman;serif" w:hAnsi="Times New Roman;serif"/>
          <w:b w:val="false"/>
          <w:i/>
          <w:color w:val="000000"/>
          <w:sz w:val="20"/>
        </w:rPr>
        <w:t xml:space="preserve">Nonretirement Postemployment Benefits, </w:t>
      </w:r>
      <w:r>
        <w:rPr>
          <w:rFonts w:ascii="Times New Roman;serif" w:hAnsi="Times New Roman;serif"/>
          <w:b w:val="false"/>
          <w:color w:val="000000"/>
          <w:sz w:val="20"/>
        </w:rPr>
        <w:t xml:space="preserve">and ASC Topic 420, </w:t>
      </w:r>
      <w:r>
        <w:rPr>
          <w:rFonts w:ascii="Times New Roman;serif" w:hAnsi="Times New Roman;serif"/>
          <w:b w:val="false"/>
          <w:i/>
          <w:color w:val="000000"/>
          <w:sz w:val="20"/>
        </w:rPr>
        <w:t xml:space="preserve">Exit or Disposal Costs, </w:t>
      </w:r>
      <w:r>
        <w:rPr>
          <w:rFonts w:ascii="Times New Roman;serif" w:hAnsi="Times New Roman;serif"/>
          <w:b w:val="false"/>
          <w:color w:val="000000"/>
          <w:sz w:val="20"/>
        </w:rPr>
        <w:t xml:space="preserve">the Company recognized $6,314 of costs related to the workforce reduction during the year ended December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2025. As of March 31, 2026, $5,718 of the costs were paid and the remaining $596 are included within accrued expenses in the Condensed Consolidated Balance Sheet. </w:t>
      </w:r>
    </w:p>
    <w:p>
      <w:pPr>
        <w:pStyle w:val="TextBody"/>
        <w:bidi w:val="0"/>
        <w:spacing w:lineRule="auto" w:line="27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accrued liability activity recorded in connection with the workforce reduction for the three months ended March 31, 2026:</w:t>
      </w:r>
    </w:p>
    <w:tbl>
      <w:tblPr>
        <w:tblW w:w="6095" w:type="dxa"/>
        <w:jc w:val="left"/>
        <w:tblInd w:w="0" w:type="dxa"/>
        <w:tblLayout w:type="fixed"/>
        <w:tblCellMar>
          <w:top w:w="28" w:type="dxa"/>
          <w:left w:w="28" w:type="dxa"/>
          <w:bottom w:w="28" w:type="dxa"/>
          <w:right w:w="28" w:type="dxa"/>
        </w:tblCellMar>
      </w:tblPr>
      <w:tblGrid>
        <w:gridCol w:w="1851"/>
        <w:gridCol w:w="1627"/>
        <w:gridCol w:w="1636"/>
        <w:gridCol w:w="211"/>
        <w:gridCol w:w="616"/>
        <w:gridCol w:w="154"/>
      </w:tblGrid>
      <w:tr>
        <w:trPr/>
        <w:tc>
          <w:tcPr>
            <w:tcW w:w="1851"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paid during the three months ended March 31, 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does not expect to incur any additional significant costs related to this workforce reduction. The remaining unpaid costs are expected to be disbursed by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pPr>
      <w:r>
        <w:rPr>
          <w:rFonts w:ascii="Times New Roman;serif" w:hAnsi="Times New Roman;serif"/>
          <w:b/>
          <w:color w:val="000000"/>
          <w:sz w:val="20"/>
        </w:rPr>
        <w:t xml:space="preserve">Note 14 </w:t>
      </w:r>
      <w:r>
        <w:rPr>
          <w:color w:val="000000"/>
        </w:rPr>
        <w:t xml:space="preserve">— </w:t>
      </w:r>
      <w:r>
        <w:rPr>
          <w:rFonts w:ascii="Times New Roman;serif" w:hAnsi="Times New Roman;serif"/>
          <w:b/>
          <w:color w:val="000000"/>
          <w:sz w:val="20"/>
        </w:rPr>
        <w:t>Segment Information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operates as one reportable and operating segment, centered around its commercialized product, ORLADEYO, and its pipeline with the goal of developing first-in-class or best-in-class oral small-molecule and injectable protein therapeutics to target a range of rare diseases. The determination of a single segment is consistent with the consolidated financial information regularly provided to the Company’s chief operating decision maker (“CODM”). The Chief Executive Officer, as the CODM, uses consolidated, single-segment financial information for purposes of evaluating performance, making operating decisions, allocating resources, and planning and forecasting for future periods.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CODM assesses performance and decides how to allocate resources based on consolidated net (loss) income. This measure is used to monitor budget versus actual results to evaluate the performance of the segment. The CODM uses consolidated cash, cash equivalents and investments as the measure of segment assets. As of March 31, 2026 and December 31, 2025 the Company’s cash, cash equivalents, and investments were $258,969 and $335,911, respectively.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illustrates information about segment revenues, significant segment expenses, and segment net (loss) income for the three months ended March 31,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tbl>
      <w:tblPr>
        <w:tblW w:w="9400" w:type="dxa"/>
        <w:jc w:val="left"/>
        <w:tblInd w:w="0" w:type="dxa"/>
        <w:tblLayout w:type="fixed"/>
        <w:tblCellMar>
          <w:top w:w="28" w:type="dxa"/>
          <w:left w:w="28" w:type="dxa"/>
          <w:bottom w:w="28" w:type="dxa"/>
          <w:right w:w="28" w:type="dxa"/>
        </w:tblCellMar>
      </w:tblPr>
      <w:tblGrid>
        <w:gridCol w:w="2252"/>
        <w:gridCol w:w="1970"/>
        <w:gridCol w:w="1984"/>
        <w:gridCol w:w="246"/>
        <w:gridCol w:w="1053"/>
        <w:gridCol w:w="126"/>
        <w:gridCol w:w="126"/>
        <w:gridCol w:w="126"/>
        <w:gridCol w:w="126"/>
        <w:gridCol w:w="246"/>
        <w:gridCol w:w="966"/>
        <w:gridCol w:w="179"/>
      </w:tblGrid>
      <w:tr>
        <w:trPr/>
        <w:tc>
          <w:tcPr>
            <w:tcW w:w="2252"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6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6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156,413 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145,534 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Less</w:t>
            </w:r>
            <w:r>
              <w:rPr>
                <w:rFonts w:ascii="Times New Roman;serif" w:hAnsi="Times New Roman;serif"/>
                <w:b/>
                <w:color w:val="000000"/>
                <w:sz w:val="13"/>
              </w:rPr>
              <w:t>1</w:t>
            </w:r>
            <w:r>
              <w:rPr>
                <w:rFonts w:ascii="Times New Roman;serif" w:hAnsi="Times New Roman;serif"/>
                <w:b/>
                <w:color w:val="000000"/>
                <w:sz w:val="20"/>
              </w:rPr>
              <w:t>:</w:t>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4,568 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in-process research and development</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697,761 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(excluding stock-based compensation)</w:t>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Navenibart</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9,741 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BCX17725</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Berotralstat</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Avoralstat</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STAR-0310</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discovery and preclinical programs</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related personnel costs</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27,091 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12,343 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non-program specific and indirect costs</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6,546 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(excluding stock-based compensation)</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42,953 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47,670 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(excluding stock-based compensation)</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42,393 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21,959 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16,027 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21,368 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19,779 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23,494 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losses (gains), net</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net (loss) income</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(721,812)</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32</w:t>
            </w:r>
            <w:r>
              <w:rPr>
                <w:color w:val="000000"/>
              </w:rPr>
              <w:t>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400"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The significant expense categories and amounts align with the segment-level information that is regularly provided to the CODM.</w:t>
            </w:r>
          </w:p>
        </w:tc>
      </w:tr>
    </w:tbl>
    <w:p>
      <w:pPr>
        <w:pStyle w:val="TextBody"/>
        <w:bidi w:val="0"/>
        <w:spacing w:lineRule="auto" w:line="276" w:before="240" w:after="283"/>
        <w:jc w:val="left"/>
        <w:rPr/>
      </w:pPr>
      <w:r>
        <w:rPr>
          <w:rFonts w:ascii="Times New Roman;serif" w:hAnsi="Times New Roman;serif"/>
          <w:b w:val="false"/>
          <w:color w:val="000000"/>
          <w:sz w:val="20"/>
        </w:rPr>
        <w:t>All material long-lived assets of the Company reside in the U.S. For geographic information about the Company’s product revenues, see “</w:t>
      </w:r>
      <w:r>
        <w:rPr>
          <w:rFonts w:ascii="Times New Roman;serif" w:hAnsi="Times New Roman;serif"/>
          <w:b w:val="false"/>
          <w:i/>
          <w:color w:val="000000"/>
          <w:sz w:val="20"/>
        </w:rPr>
        <w:t>Note 3—Revenue</w:t>
      </w:r>
      <w:r>
        <w:rPr>
          <w:color w:val="000000"/>
        </w:rPr>
        <w:t>”</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Note 15</w:t>
      </w:r>
      <w:r>
        <w:rPr>
          <w:color w:val="000000"/>
        </w:rPr>
        <w:t xml:space="preserve"> — </w:t>
      </w:r>
      <w:r>
        <w:rPr>
          <w:rFonts w:ascii="Times New Roman;serif" w:hAnsi="Times New Roman;serif"/>
          <w:b/>
          <w:color w:val="000000"/>
          <w:sz w:val="20"/>
        </w:rPr>
        <w:t>Commitments and Contingencies</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Abbreviated New Drug Application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2025, the Company received a Paragraph IV notice of certification (the “First Notice Letter”) from Annora Pharma Private Limited (“Annora”) regarding U.S. Patent Nos. 10,662,160; 11,117,867; and 11,618,733. In January 2026, the Company received an additional Paragraph IV notice of certification (the “Second Notice Letter” and, together with the First Notice Letter, the “Notice Letters”) from Annora regarding U.S. Patent No. 12,344,585. The Notice Letters advise that Annora has submitted an Abbreviated New Drug Application (“ANDA”) to the U.S. Food and Drug Administration (“FDA”) seeking approval to manufacture, use or sell a generic version of ORLADEYO in the United States prior to the expiration of four patents listed in the FDA’s Orange Book: U.S. Patent Nos. 10,662,160; 11,117,867; 11,618,733; and 12,344,585 (the “Challenged Patents”). The Notice Letters allege that the Challenged Patents, which expire in 2039, are invalid, unenforceable and/or will not be infringed by the commercial manufacture, use or sale of the generic product described in Annora’s ANDA. The Notice Letters do not challenge the following six ORLADEYO Orange Book patents that expire in 2035: U.S. Patent Nos. 10,125,102; 10,329,260; 10,689,346; 11,230,530; 11,708,333; and 12,116,346.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March 10, 2025 (as supplemented by the First Amended Complaint filed in December 2025), the Company ﬁled a patent infringement lawsuit in the United States District Court for the District of Delaware against Annora, Hetero Labs Limited, Hetero USA, Inc., and Camber Pharmaceuticals, Inc. (collectively, the “Defendants”), asserting infringement of the Challenged Patents arising from Annora’s ANDA filing with the FDA. The Company is seeking, among other remedies, equitable relief enjoining the Defendants from infringing the Challenged Patents, as well as an order that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eﬀective date of any FDA approval of the ANDA would be a date no earlier than the expiration of the Challenged Patents (including any regulatory extensions). While the Company intends to vigorously defend its intellectual property rights protecting ORLADEYO, this matter is in the early stages of litigation and no assessment can be made as to the likely outcome of this matter or whether it will be material to the Company. Accordingly, an estimate of the potential loss, or range of loss, if any, to the Company relating to this matter is not possible at this time.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Arrangements</w:t>
      </w:r>
    </w:p>
    <w:p>
      <w:pPr>
        <w:pStyle w:val="TextBody"/>
        <w:bidi w:val="0"/>
        <w:spacing w:lineRule="auto" w:line="288" w:before="240" w:after="283"/>
        <w:ind w:left="0" w:right="0" w:firstLine="540"/>
        <w:jc w:val="left"/>
        <w:rPr/>
      </w:pPr>
      <w:r>
        <w:rPr>
          <w:rFonts w:ascii="Times New Roman;serif" w:hAnsi="Times New Roman;serif"/>
          <w:b w:val="false"/>
          <w:color w:val="000000"/>
          <w:sz w:val="20"/>
        </w:rPr>
        <w:t>The Company has collaborative, licensing, and research and development services agreements in place for which it could be obligated to make payments upon certain developmental, regulatory, or commercial milestones, and future royalty payments, which will be reflected in the financial statements upon the occurrence of such contingent events. Except as disclosed in “</w:t>
      </w:r>
      <w:r>
        <w:rPr>
          <w:rFonts w:ascii="Times New Roman;serif" w:hAnsi="Times New Roman;serif"/>
          <w:b w:val="false"/>
          <w:i/>
          <w:color w:val="000000"/>
          <w:sz w:val="20"/>
        </w:rPr>
        <w:t>Note 12—Collaborative and Other Relationships</w:t>
      </w:r>
      <w:r>
        <w:rPr>
          <w:color w:val="000000"/>
        </w:rPr>
        <w:t>”</w:t>
      </w:r>
      <w:r>
        <w:rPr>
          <w:rFonts w:ascii="Times New Roman;serif" w:hAnsi="Times New Roman;serif"/>
          <w:b w:val="false"/>
          <w:color w:val="000000"/>
          <w:sz w:val="20"/>
        </w:rPr>
        <w:t>, there have been no changes to material arrangements during the three months ended March 31, 2026 as compared to those disclosed in “</w:t>
      </w:r>
      <w:r>
        <w:rPr>
          <w:rFonts w:ascii="Times New Roman;serif" w:hAnsi="Times New Roman;serif"/>
          <w:b w:val="false"/>
          <w:i/>
          <w:color w:val="000000"/>
          <w:sz w:val="20"/>
        </w:rPr>
        <w:t>Note 16—Collaborative and Other Relationships</w:t>
      </w:r>
      <w:r>
        <w:rPr>
          <w:color w:val="000000"/>
        </w:rPr>
        <w:t xml:space="preserve">” </w:t>
      </w:r>
      <w:r>
        <w:rPr>
          <w:rFonts w:ascii="Times New Roman;serif" w:hAnsi="Times New Roman;serif"/>
          <w:b w:val="false"/>
          <w:color w:val="000000"/>
          <w:sz w:val="20"/>
        </w:rPr>
        <w:t>to the audited consolidated financial statements in the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Note 16</w:t>
      </w:r>
      <w:r>
        <w:rPr>
          <w:color w:val="000000"/>
        </w:rPr>
        <w:t xml:space="preserve"> — </w:t>
      </w:r>
      <w:r>
        <w:rPr>
          <w:rFonts w:ascii="Times New Roman;serif" w:hAnsi="Times New Roman;serif"/>
          <w:b/>
          <w:color w:val="000000"/>
          <w:sz w:val="20"/>
        </w:rPr>
        <w:t>Net (Loss) Income Per Share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Basic and diluted net (loss) income per share for the three months ended March 31, 2026 and 2025 were calculated as follows:</w:t>
      </w:r>
    </w:p>
    <w:tbl>
      <w:tblPr>
        <w:tblW w:w="8111" w:type="dxa"/>
        <w:jc w:val="left"/>
        <w:tblInd w:w="0" w:type="dxa"/>
        <w:tblLayout w:type="fixed"/>
        <w:tblCellMar>
          <w:top w:w="28" w:type="dxa"/>
          <w:left w:w="28" w:type="dxa"/>
          <w:bottom w:w="28" w:type="dxa"/>
          <w:right w:w="28" w:type="dxa"/>
        </w:tblCellMar>
      </w:tblPr>
      <w:tblGrid>
        <w:gridCol w:w="1909"/>
        <w:gridCol w:w="1680"/>
        <w:gridCol w:w="1691"/>
        <w:gridCol w:w="246"/>
        <w:gridCol w:w="1054"/>
        <w:gridCol w:w="127"/>
        <w:gridCol w:w="127"/>
        <w:gridCol w:w="127"/>
        <w:gridCol w:w="127"/>
        <w:gridCol w:w="246"/>
        <w:gridCol w:w="597"/>
        <w:gridCol w:w="180"/>
      </w:tblGrid>
      <w:tr>
        <w:trPr/>
        <w:tc>
          <w:tcPr>
            <w:tcW w:w="1909"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(721,812)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basic</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242,258 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208,882 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common share: basic</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4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to purchase common stock</w:t>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 awards</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under the employee stock purchase plan</w:t>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potential common shares</w:t>
            </w:r>
          </w:p>
        </w:tc>
        <w:tc>
          <w:tcPr>
            <w:tcW w:w="13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diluted</w:t>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242,258 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215,261 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common share: diluted</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2025, the dilutive effect of outstanding stock options, restricted stock unit awards, and shares issuable under the employee stock purchase plan was calculated using the treasury method, whereby all such awards are assumed to be exercised at the beginning of the period. The hypothetical proceeds from such exercises, including the average unrecognized stock compensation expense for outstanding stock options, restricted stock units and shares issuable under the employee stock purchase plan, were assumed to be used to purchase outstanding common stock at the average price during the period. The net share impact of dilutive securities was added to the weighted average basic common shares outstanding to calculate weighted average diluted shares outstanding.</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during which the Company recorded a net loss, all potentially dilutive securities were excluded from the computation of diluted net loss per share as the effect would be to reduce the net loss per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share, and thus they are considered “anti-dilutive.” For this period, the weighted average number of shares of common stock outstanding used to calculate both basic and diluted net loss per share of common stock is the same.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potential shares of common stock that were excluded from the computation of diluted net (loss) income per share attributable to common stockholders as they were anti-dilutive:</w:t>
      </w:r>
    </w:p>
    <w:tbl>
      <w:tblPr>
        <w:tblW w:w="5460" w:type="dxa"/>
        <w:jc w:val="left"/>
        <w:tblInd w:w="0" w:type="dxa"/>
        <w:tblLayout w:type="fixed"/>
        <w:tblCellMar>
          <w:top w:w="28" w:type="dxa"/>
          <w:left w:w="28" w:type="dxa"/>
          <w:bottom w:w="28" w:type="dxa"/>
          <w:right w:w="28" w:type="dxa"/>
        </w:tblCellMar>
      </w:tblPr>
      <w:tblGrid>
        <w:gridCol w:w="1136"/>
        <w:gridCol w:w="996"/>
        <w:gridCol w:w="1002"/>
        <w:gridCol w:w="360"/>
        <w:gridCol w:w="361"/>
        <w:gridCol w:w="176"/>
        <w:gridCol w:w="157"/>
        <w:gridCol w:w="157"/>
        <w:gridCol w:w="157"/>
        <w:gridCol w:w="360"/>
        <w:gridCol w:w="361"/>
        <w:gridCol w:w="237"/>
      </w:tblGrid>
      <w:tr>
        <w:trPr/>
        <w:tc>
          <w:tcPr>
            <w:tcW w:w="113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March 31,</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stock options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30,555 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 awards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50,796 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31,977 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Note 17</w:t>
      </w:r>
      <w:r>
        <w:rPr>
          <w:color w:val="000000"/>
        </w:rPr>
        <w:t xml:space="preserve"> — </w:t>
      </w:r>
      <w:r>
        <w:rPr>
          <w:rFonts w:ascii="Times New Roman;serif" w:hAnsi="Times New Roman;serif"/>
          <w:b/>
          <w:color w:val="000000"/>
          <w:sz w:val="20"/>
        </w:rPr>
        <w:t>Subsequent Events</w:t>
      </w:r>
    </w:p>
    <w:p>
      <w:pPr>
        <w:pStyle w:val="TextBody"/>
        <w:bidi w:val="0"/>
        <w:spacing w:lineRule="auto" w:line="26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May 4, 2026, the Company announced that it entered into a licensing agreement granting an Irish affiliate of Neopharmed exclusive rights to commercialize navenibart for HAE in Europe. The Company received upfront consideration of $70,000 and will be eligible to receive up to $275,000 in future regulatory and sales milestone payments. The Company will also receive tiered royalties on net sales ranging from 18% to 30%.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00" w:after="283"/>
        <w:ind w:left="0" w:right="0" w:firstLine="540"/>
        <w:jc w:val="left"/>
        <w:rPr/>
      </w:pPr>
      <w:r>
        <w:rPr>
          <w:rFonts w:ascii="Times New Roman;serif" w:hAnsi="Times New Roman;serif"/>
          <w:b w:val="false"/>
          <w:i/>
          <w:color w:val="000000"/>
          <w:sz w:val="20"/>
        </w:rPr>
        <w:t>The following Management</w:t>
      </w:r>
      <w:r>
        <w:rPr>
          <w:color w:val="000000"/>
        </w:rPr>
        <w:t>’</w:t>
      </w:r>
      <w:r>
        <w:rPr>
          <w:rFonts w:ascii="Times New Roman;serif" w:hAnsi="Times New Roman;serif"/>
          <w:b w:val="false"/>
          <w:i/>
          <w:color w:val="000000"/>
          <w:sz w:val="20"/>
        </w:rPr>
        <w:t>s Discussion and Analysis (</w:t>
      </w:r>
      <w:r>
        <w:rPr>
          <w:color w:val="000000"/>
        </w:rPr>
        <w:t>“</w:t>
      </w:r>
      <w:r>
        <w:rPr>
          <w:rFonts w:ascii="Times New Roman;serif" w:hAnsi="Times New Roman;serif"/>
          <w:b w:val="false"/>
          <w:i/>
          <w:color w:val="000000"/>
          <w:sz w:val="20"/>
        </w:rPr>
        <w:t>MD&amp;A</w:t>
      </w:r>
      <w:r>
        <w:rPr>
          <w:color w:val="000000"/>
        </w:rPr>
        <w:t>”</w:t>
      </w:r>
      <w:r>
        <w:rPr>
          <w:rFonts w:ascii="Times New Roman;serif" w:hAnsi="Times New Roman;serif"/>
          <w:b w:val="false"/>
          <w:i/>
          <w:color w:val="000000"/>
          <w:sz w:val="20"/>
        </w:rPr>
        <w:t xml:space="preserve">) is intended to help the reader understand our results of operations and financial condition. This MD&amp;A is provided as a supplement to, and should be read in conjunction with, our unaudited condensed consolidated financial statements and the accompanying notes to the financial statements and other disclosures included in this report (including the </w:t>
      </w:r>
      <w:r>
        <w:rPr>
          <w:color w:val="000000"/>
        </w:rPr>
        <w:t>“</w:t>
      </w:r>
      <w:r>
        <w:rPr>
          <w:rFonts w:ascii="Times New Roman;serif" w:hAnsi="Times New Roman;serif"/>
          <w:b w:val="false"/>
          <w:i/>
          <w:color w:val="000000"/>
          <w:sz w:val="20"/>
        </w:rPr>
        <w:t>Cautionary Note Regarding Forward-Looking Statements</w:t>
      </w:r>
      <w:r>
        <w:rPr>
          <w:color w:val="000000"/>
        </w:rPr>
        <w:t xml:space="preserve">” </w:t>
      </w:r>
      <w:r>
        <w:rPr>
          <w:rFonts w:ascii="Times New Roman;serif" w:hAnsi="Times New Roman;serif"/>
          <w:b w:val="false"/>
          <w:i/>
          <w:color w:val="000000"/>
          <w:sz w:val="20"/>
        </w:rPr>
        <w:t xml:space="preserve">at the beginning of this report and the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i/>
          <w:color w:val="000000"/>
          <w:sz w:val="20"/>
        </w:rPr>
        <w:t>section in Part II, Item 1A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a global biotechnology company focused on developing and commercializing medicines for hereditary angioedema (“HAE”) and other rare diseases, driven by our deep commitment to improving the lives of people living with these conditions. We have built a robust commercial infrastructure to support the successful commercialization of ORLADEYO, an oral, once-daily therapy discovered and developed internally for the prevention of HAE attacks. Our business strategy includes leveraging this established commercial platform to successfully commercialize a pipeline of potential first-in-class or best-in-class oral small-molecule and injectable protein therapeutics targeting a range of rare diseases. These programs are being pursued through both internal discovery efforts and strategic business development. By utilizing our existing commercial capabilities and focusing on rare disease markets, we believe that we can most effectively optimize our costs and strategically allocate resources to support long-term, sustainable growth.</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Products and Product Candidates</w:t>
      </w:r>
    </w:p>
    <w:p>
      <w:pPr>
        <w:pStyle w:val="TextBody"/>
        <w:bidi w:val="0"/>
        <w:spacing w:lineRule="auto" w:line="288" w:before="200" w:after="283"/>
        <w:jc w:val="left"/>
        <w:rPr/>
      </w:pPr>
      <w:r>
        <w:rPr>
          <w:rFonts w:ascii="Times New Roman;serif" w:hAnsi="Times New Roman;serif"/>
          <w:b w:val="false"/>
          <w:i/>
          <w:color w:val="000000"/>
          <w:sz w:val="20"/>
        </w:rPr>
        <w:t>ORLADEYO</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(berotralstat)</w:t>
      </w:r>
      <w:r>
        <w:rPr>
          <w:color w:val="000000"/>
        </w:rPr>
        <w:t xml:space="preserve">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ORLADEYO is an oral, once-daily therapy discovered and developed by us for the prevention of HAE attacks. A capsule formulation of ORLADEYO is approved in the United States and other global markets for the prevention of HAE attacks in adults and pediatric patients 12 years and older. In addition, in December 2025, the FDA approved an oral pellet formulation of once-daily ORLADEYO for prophylactic therapy in pediatric patients with HAE aged 2 to &lt;12 years.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Based on proprietary analyses of HAE prevalence and market research studies with HAE patients, physicians, and payors in the United States and Europe, and over five years of commercialization experience with ORLADEYO, we anticipate that the global commercial market for ORLADEYO has the potential to reach a global peak of $1 billion in annual net ORLADEYO revenues. Based on our commercialization experience with ORLADEYO, we believe there is a seasonal impact to our business in the first quarter of each year due to typical first quarter requirements from payors for prescription reauthorization of specialty products, like ORLADEYO, that can temporarily move patients from paid drug to free product. These expectations are subject to numerous risks and uncertainties that may cause our actual results, performance, or achievements to be materially different. There can be no assurance that our commercialization methods and strategies will succeed, or that the market for ORLADEYO will develop in line with our current expectations. See “</w:t>
      </w:r>
      <w:r>
        <w:rPr>
          <w:rFonts w:ascii="Times New Roman;serif" w:hAnsi="Times New Roman;serif"/>
          <w:b w:val="false"/>
          <w:i/>
          <w:color w:val="000000"/>
          <w:sz w:val="20"/>
        </w:rPr>
        <w:t>Risk Factors—Risks Relating to Our Business—Risks Relating to Product Development and Commercialization—There can be no assurance that our or our partners’ commercialization efforts, methods, and strategies for our products or technologies will succeed, and our future revenue generation is uncertain</w:t>
      </w:r>
      <w:r>
        <w:rPr>
          <w:color w:val="000000"/>
        </w:rPr>
        <w:t xml:space="preserve">” </w:t>
      </w:r>
      <w:r>
        <w:rPr>
          <w:rFonts w:ascii="Times New Roman;serif" w:hAnsi="Times New Roman;serif"/>
          <w:b w:val="false"/>
          <w:color w:val="000000"/>
          <w:sz w:val="20"/>
        </w:rPr>
        <w:t>in Part II, Item 1A of this report for further discussion of these risks.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Revenue from sales of ORLADEYO for the three months ended March 31, 2026 is discussed under “</w:t>
      </w:r>
      <w:r>
        <w:rPr>
          <w:rFonts w:ascii="Times New Roman;serif" w:hAnsi="Times New Roman;serif"/>
          <w:b w:val="false"/>
          <w:i/>
          <w:color w:val="000000"/>
          <w:sz w:val="20"/>
        </w:rPr>
        <w:t>Results of Operations</w:t>
      </w:r>
      <w:r>
        <w:rPr>
          <w:color w:val="000000"/>
        </w:rPr>
        <w:t xml:space="preserve">” </w:t>
      </w:r>
      <w:r>
        <w:rPr>
          <w:rFonts w:ascii="Times New Roman;serif" w:hAnsi="Times New Roman;serif"/>
          <w:b w:val="false"/>
          <w:color w:val="000000"/>
          <w:sz w:val="20"/>
        </w:rPr>
        <w:t>in this MD&amp;A. Revenue from sales of ORLADEYO in future periods is subject to uncertainties and will depend on several factors, including, but not limited to, the success of our and our partners’ commercialization efforts in the United States and elsewhere, the number of new patients switching to ORLADEYO, patient retention and demand, the number of physicians prescribing ORLADEYO, the rate of monthly prescriptions, reimbursement from third-party and government pa</w:t>
      </w:r>
      <w:r>
        <w:rPr>
          <w:rFonts w:ascii="Times New Roman;serif" w:hAnsi="Times New Roman;serif"/>
          <w:b w:val="false"/>
          <w:color w:val="000000"/>
          <w:sz w:val="20"/>
          <w:shd w:fill="FFFFFF" w:val="clear"/>
        </w:rPr>
        <w:t>yors, the number of patients receiv</w:t>
      </w:r>
      <w:r>
        <w:rPr>
          <w:rFonts w:ascii="Times New Roman;serif" w:hAnsi="Times New Roman;serif"/>
          <w:b w:val="false"/>
          <w:color w:val="000000"/>
          <w:sz w:val="20"/>
        </w:rPr>
        <w:t>ing free product, our pricing strategy, and market trends. We monitor and analyze this data on an ongoing basis as we continue to commercialize ORLADEYO and adjust our forecasts accordingly. In addition, on May 6, 2026, we announced that we recently identified a manufacturing issue that will delay the initial product fulfillment of the oral pellet formulation of ORLADEYO. We are currently evaluating the impact of this delay and cannot predict at this time whether or to what extent it may affect future revenue or operating results.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Navenibart (STAR-0215)</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23, 2026, we completed the previously announced Merger with Astria (each term as defined below). Pursuant to the Merger, we acquired Astria’s lead product candidate navenibart, an injectable monoclonal antibody designed to inhibit plasma kallikrein for the treatment of HAE. Navenibart is currently in Phase 3 clinical development, and the FDA has granted Fast Track and Orphan Drug designations to navenibart for the treatment of HAE. In addition,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European Commission has granted Orphan Medicinal Product Designation to navenibart for the treatment of HAE. The goal for navenibart is to develop a potentially best-in-class injectable prophylactic therapy with a differentiated every 3- and 6-month administration schedule, which could offer significant improvements over existing injectable options and address key unmet needs in the HAE patient community.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BCX17725 (Netherton syndrome)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BCX17725 is a potent and selective investigational protein therapeutic KLK5 inhibitor designed to provide best-in-class, potentially disease-modifying, treatment for people with Netherton syndrome. Netherton syndrome is a serious, rare, lifelong genetic disorder causing disruption of the skin barrier with premature separation of the skin layers, chronic inflammation and vulnerability to serious infections, caused by lack of normal function of a natural inhibitor of KLK5. People with Netherton syndrome often have itchy, red, scaly, inflamed skin, fragile hair, and are more likely to develop severe food allergies, asthma and eczema. Netherton syndrome can be life-threatening, especially during infancy when patients are vulnerable to dehydration and recurrent infections. Currently, there are no approved treatments that target the underlying cause of Netherton syndrome. BCX17725 is designed to replace missing functions of the natural KLK5 inhibitor, which could restore the normal skin barrier and result in improved skin function, including protection from severe inflammatory and infectious complications of the disease.</w:t>
      </w:r>
    </w:p>
    <w:p>
      <w:pPr>
        <w:pStyle w:val="TextBody"/>
        <w:bidi w:val="0"/>
        <w:spacing w:lineRule="auto" w:line="288" w:before="200" w:after="283"/>
        <w:jc w:val="left"/>
        <w:rPr/>
      </w:pPr>
      <w:r>
        <w:rPr>
          <w:rFonts w:ascii="Times New Roman;serif" w:hAnsi="Times New Roman;serif"/>
          <w:b w:val="false"/>
          <w:i/>
          <w:color w:val="000000"/>
          <w:sz w:val="20"/>
        </w:rPr>
        <w:t>RAPIVAB</w:t>
      </w:r>
      <w:r>
        <w:rPr>
          <w:rFonts w:ascii="Times New Roman;serif" w:hAnsi="Times New Roman;serif"/>
          <w:b w:val="false"/>
          <w:color w:val="000000"/>
          <w:sz w:val="20"/>
        </w:rPr>
        <w:t>®</w:t>
      </w:r>
      <w:r>
        <w:rPr>
          <w:rFonts w:ascii="Times New Roman;serif" w:hAnsi="Times New Roman;serif"/>
          <w:b w:val="false"/>
          <w:i/>
          <w:color w:val="000000"/>
          <w:sz w:val="20"/>
        </w:rPr>
        <w:t>/RAPIACTA</w:t>
      </w:r>
      <w:r>
        <w:rPr>
          <w:rFonts w:ascii="Times New Roman;serif" w:hAnsi="Times New Roman;serif"/>
          <w:b w:val="false"/>
          <w:color w:val="000000"/>
          <w:sz w:val="20"/>
        </w:rPr>
        <w:t>®</w:t>
      </w:r>
      <w:r>
        <w:rPr>
          <w:rFonts w:ascii="Times New Roman;serif" w:hAnsi="Times New Roman;serif"/>
          <w:b w:val="false"/>
          <w:i/>
          <w:color w:val="000000"/>
          <w:sz w:val="20"/>
        </w:rPr>
        <w:t>/PERAMIFLU</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(peramivir injection)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RAPIVAB (peramivir injection) is approved in the United States for the treatment of acute uncomplicated influenza for patients six months and older. Peramivir injection is also approved in Canada (RAPIVAB), Australia (RAPIVAB), Japan (RAPIACTA), Taiwan (RAPIACTA), and Korea (PERAMIFLU).</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STAR-0310</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Merger, on the Closing Date, we acquired STAR-0310, which is a monoclonal antibody OX40 antagonist that incorporates YTE half-life extension technology for the treatment of atopic dermatitis (“AD”) and potentially other indications. STAR-0310 was designed as a potentially best-in-class, long-acting OX40 inhibitor with the goal of addressing the need for a safe, effective, and infrequently administered AD treatment. AD is an immune disorder associated with loss of skin barrier function and itching and is caused by diverse mechanisms, spanning the spectrum of T cell-driven pathology. STAR-0310 is currently in a Phase 1a trial to assess the safety, tolerability, pharmacokinetics, and immunogenicity of STAR-0310 in healthy subjects. We plan to seek strategic alternatives for this asset.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Revenues and Expenses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Our revenues are difficult to predict and depend on several factors, including those discussed in the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section in Part II, Item 1A of this report. For example, our revenues depend, in part, on regulatory approval decisions for our products and product candidates, the effectiveness of our and our collaborative partners’ commercialization efforts, market acceptance of our products, particularly ORLADEYO, and the resources dedicated to our products and product candidates by us and our collaborative partners, as well as entering into or modifying licensing agreements for our product candidates. Furthermore, revenues related to our collaborative development activities are dependent upon the progress toward, and the achievement of, developmental milestones by us or our collaborative partners. </w:t>
      </w:r>
    </w:p>
    <w:p>
      <w:pPr>
        <w:pStyle w:val="TextBody"/>
        <w:bidi w:val="0"/>
        <w:spacing w:lineRule="auto" w:line="288" w:before="200" w:after="283"/>
        <w:ind w:left="0" w:right="0" w:firstLine="540"/>
        <w:jc w:val="left"/>
        <w:rPr/>
      </w:pPr>
      <w:r>
        <w:rPr>
          <w:rFonts w:ascii="Times New Roman;serif" w:hAnsi="Times New Roman;serif"/>
          <w:b w:val="false"/>
          <w:color w:val="000000"/>
          <w:sz w:val="20"/>
        </w:rPr>
        <w:t>Our operating expenses are also difficult to predict and depend primarily on research and development activities, including clinical research activities, and the ongoing requirements of our development programs, as well as the costs of commercialization, drug manufacturing, direction from regulatory agencies and the factors discussed in the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section in Part II, Item 1A of this report. Management may be able to control the timing and level of research and development and selling, general and administrative expenses, but many of these expenditures will occur irrespective of our actions due to contractually committed activities and/or payments.</w:t>
      </w:r>
    </w:p>
    <w:p>
      <w:pPr>
        <w:pStyle w:val="TextBody"/>
        <w:bidi w:val="0"/>
        <w:spacing w:lineRule="auto" w:line="288" w:before="20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result of these factors, we believe that period-to-period comparisons are not necessarily meaningful, and you should not rely on them as an indication of future performance. Due to the foregoing factors, it is possible that our operating results will be below the expectations of market analysts and investors. In such event, the prevailing market price of our common stock could be materially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Recent Developments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Navenibart (STAR-0215)</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February 26, 2026, we announced that new positive, interim results from the long</w:t>
        <w:noBreakHyphen/>
        <w:t>term, open</w:t>
        <w:noBreakHyphen/>
        <w:t>label ALPHA</w:t>
        <w:noBreakHyphen/>
        <w:t>SOLAR trial show sustained, robust HAE attack suppression with navenibart administered every three and six months. In addition, we announced on May 6, 2026 that patient enrollment in ALPHA-ORBIT, the ongoing pivotal study of navenibart for the prophylaxis of HAE, is on track to be completed by the end of June 2026.</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May 4, 2026, we announced that we entered into a licensing agreement granting an Irish affiliate of Neopharmed Gentili S.p.A. (“Neopharmed”) exclusive rights to commercialize navenibart for HAE in Europe. We received upfront consideration of $70.0 million and will be eligible to receive up to $275.0 million in future regulatory and sales milestone payments. We will also receive tiered royalties on net sales ranging from 18% to 30%. Navenibart is an investigational product that has not yet received regulatory approval in the United States or Europe.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BCX17725 (Netherton syndrome)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May 6, 2026, we announced that we have begun dosing in Part 4 of a Phase 1 trial of BCX17725 for the treatment of Netherton syndrome, which will enroll up to 12 patients for three months.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Avoralstat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first quarter of 2026, we ended development of avoralstat, a plasma kallikrein inhibitor for the treatment of diabetic macular edema, to focus our pipeline on rare diseases.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Astria Therapeutics, Inc. Merger</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October 14, 2025, we entered into an Agreement and Plan of Merger (the “Merger Agreement”) with Axel Merger Sub, Inc., a Delaware corporation and our wholly owned subsidiary (“Merger Sub”), and Astria Therapeutics, Inc., a Delaware corporation (“Astria”). Pursuant to the Merger Agreement, on January 23, 2026 (the “Closing Date”), Merger Sub merged with and into Astria, with Astria surviving as our wholly owned subsidiary (the “Merger”).</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terms of the Merger Agreement, at the effective time of the Merger (the “Effective Time”), each share of Astria common stock, par value $0.001 per share, issued and outstanding immediately prior to the Effective Time (excluding shares held by BioCryst, Astria or their wholly owned subsidiaries or dissenting stockholders) was converted into the right to receive (i) 0.59 of a share of our common stock (and, if applicable, cash in lieu of fractional shares), and (ii) $8.55 in cash, without interest, subject to certain adjustments and applicable withholding taxes. Holders of Astria’s Series X Convertible Preferred Stock, warrants, and certain options were treated as set forth in the Merger Agreement.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Blackstone Loan Agreement</w:t>
      </w:r>
    </w:p>
    <w:p>
      <w:pPr>
        <w:pStyle w:val="TextBody"/>
        <w:bidi w:val="0"/>
        <w:spacing w:lineRule="auto" w:line="288" w:before="200" w:after="283"/>
        <w:ind w:left="0" w:right="0" w:firstLine="540"/>
        <w:jc w:val="left"/>
        <w:rPr/>
      </w:pPr>
      <w:r>
        <w:rPr>
          <w:rFonts w:ascii="Times New Roman;serif" w:hAnsi="Times New Roman;serif"/>
          <w:b w:val="false"/>
          <w:color w:val="000000"/>
          <w:sz w:val="20"/>
        </w:rPr>
        <w:t>On the Closing Date, we also entered into</w:t>
      </w:r>
      <w:r>
        <w:rPr>
          <w:color w:val="000000"/>
          <w:shd w:fill="FFFFFF" w:val="clear"/>
        </w:rPr>
        <w:t xml:space="preserve"> </w:t>
      </w:r>
      <w:r>
        <w:rPr>
          <w:rFonts w:ascii="Times New Roman;serif" w:hAnsi="Times New Roman;serif"/>
          <w:b w:val="false"/>
          <w:color w:val="000000"/>
          <w:sz w:val="20"/>
          <w:shd w:fill="FFFFFF" w:val="clear"/>
        </w:rPr>
        <w:t xml:space="preserve">a Loan Agreement (the “Blackstone Loan Agreement”) with </w:t>
      </w:r>
      <w:r>
        <w:rPr>
          <w:rFonts w:ascii="Times New Roman;serif" w:hAnsi="Times New Roman;serif"/>
          <w:b w:val="false"/>
          <w:color w:val="000000"/>
          <w:sz w:val="20"/>
        </w:rPr>
        <w:t>Blackstone Alternative Credit Advisors LP and Blackstone Life Sciences Advisors L.L.C., (together, “Blackstone”), as the Blackstone representatives thereunder, the guarantors from time to time party thereto, the lenders from time to time party thereto, and Wilmington Trust, National Association, as agent, pursuant to which the lenders funded term loans in the aggregate principal amount of $400.0 million (the “Term Loans”). Subject to the mutual agreement between the Company, Blackstone and the lenders, we may request additional term loans up to an aggregate principal amount not exceeding $150.0 million. Our obligations under the Blackstone Loan Agreement are secured by a security interest in, subject to certain exceptions, substantially all of our and our subsidiaries’ assets. We used the proceeds from the Term Loans to pay the cash portion of the consideration required to consummate the Merger. The maturity date of the Term Loans under the Loan Agreement is January 23, 2031, the fifth anniversary of the Closing Date. See “</w:t>
      </w:r>
      <w:r>
        <w:rPr>
          <w:rFonts w:ascii="Times New Roman;serif" w:hAnsi="Times New Roman;serif"/>
          <w:b w:val="false"/>
          <w:i/>
          <w:color w:val="000000"/>
          <w:sz w:val="20"/>
        </w:rPr>
        <w:t>Note 8—Debt</w:t>
      </w:r>
      <w:r>
        <w:rPr>
          <w:color w:val="000000"/>
        </w:rPr>
        <w:t xml:space="preserve">” </w:t>
      </w:r>
      <w:r>
        <w:rPr>
          <w:rFonts w:ascii="Times New Roman;serif" w:hAnsi="Times New Roman;serif"/>
          <w:b w:val="false"/>
          <w:color w:val="000000"/>
          <w:sz w:val="20"/>
        </w:rPr>
        <w:t>in the Notes to the Condensed Consolidated Financial Statements in Part I, Item 1 of this report for additional information about the Blackstone Loan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Results of Operations (three months ended March 31, 2026 compared to the three months ended March 31, 2025)</w:t>
      </w:r>
    </w:p>
    <w:p>
      <w:pPr>
        <w:pStyle w:val="TextBody"/>
        <w:bidi w:val="0"/>
        <w:spacing w:lineRule="auto" w:line="288" w:before="20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revenues for the periods indicated:</w:t>
      </w:r>
    </w:p>
    <w:tbl>
      <w:tblPr>
        <w:tblW w:w="5562" w:type="dxa"/>
        <w:jc w:val="left"/>
        <w:tblInd w:w="0" w:type="dxa"/>
        <w:tblLayout w:type="fixed"/>
        <w:tblCellMar>
          <w:top w:w="28" w:type="dxa"/>
          <w:left w:w="28" w:type="dxa"/>
          <w:bottom w:w="28" w:type="dxa"/>
          <w:right w:w="28" w:type="dxa"/>
        </w:tblCellMar>
      </w:tblPr>
      <w:tblGrid>
        <w:gridCol w:w="988"/>
        <w:gridCol w:w="869"/>
        <w:gridCol w:w="872"/>
        <w:gridCol w:w="224"/>
        <w:gridCol w:w="879"/>
        <w:gridCol w:w="116"/>
        <w:gridCol w:w="116"/>
        <w:gridCol w:w="116"/>
        <w:gridCol w:w="116"/>
        <w:gridCol w:w="224"/>
        <w:gridCol w:w="879"/>
        <w:gridCol w:w="163"/>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ORLADEYO</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148,347 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122,707 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ORLADEYO business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ORLADEYO</w:t>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148,347 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134,243 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revenue</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156,413 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145,534 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Total revenues increased to $156.4 million for the three months ended March 31, 2026 compared to $145.5 million for the three months ended March 31, 2025. The $10.9 million increase in total revenues was primarily driven by the following: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$25.6 million increase in ORLADEYO revenue, excluding revenues associated with our European ORLADEYO business, primarily due to an increase in direct sales of ORLADEYO due to strong patient demand and a net price increase;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$3.0 million increase in license revenue related to quarterly royalty payments from BioCryst Ireland Limited.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These increases were partially offset by the following: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$11.5 million decrease in revenues associated with our European ORLADEYO business due to the sale of our European ORLADEYO business to Neopharmed on October 1, 2025;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$6.2 million decrease in other revenue driven by a decrease in peramivir revenues from $11.3 million for the three months ended March 31, 2025 to $3.9 million for the three months ended March 31, 2026. The decrease primarily reflects lower direct sales of peramivir to the U.S. Department of Health and Human Services following the expiration of the initial 12</w:t>
        <w:noBreakHyphen/>
        <w:t xml:space="preserve">month base ordering period in September 2025, after which no additional ordering periods were exercised. </w:t>
      </w:r>
    </w:p>
    <w:p>
      <w:pPr>
        <w:pStyle w:val="TextBody"/>
        <w:bidi w:val="0"/>
        <w:spacing w:lineRule="auto" w:line="288" w:before="20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Cost of product sales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cost of product sales for the periods indicated:</w:t>
      </w:r>
    </w:p>
    <w:tbl>
      <w:tblPr>
        <w:tblW w:w="5845" w:type="dxa"/>
        <w:jc w:val="left"/>
        <w:tblInd w:w="0" w:type="dxa"/>
        <w:tblLayout w:type="fixed"/>
        <w:tblCellMar>
          <w:top w:w="28" w:type="dxa"/>
          <w:left w:w="28" w:type="dxa"/>
          <w:bottom w:w="28" w:type="dxa"/>
          <w:right w:w="28" w:type="dxa"/>
        </w:tblCellMar>
      </w:tblPr>
      <w:tblGrid>
        <w:gridCol w:w="1092"/>
        <w:gridCol w:w="959"/>
        <w:gridCol w:w="964"/>
        <w:gridCol w:w="266"/>
        <w:gridCol w:w="778"/>
        <w:gridCol w:w="137"/>
        <w:gridCol w:w="137"/>
        <w:gridCol w:w="137"/>
        <w:gridCol w:w="137"/>
        <w:gridCol w:w="266"/>
        <w:gridCol w:w="778"/>
        <w:gridCol w:w="194"/>
      </w:tblGrid>
      <w:tr>
        <w:trPr/>
        <w:tc>
          <w:tcPr>
            <w:tcW w:w="10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 - ORLADEYO</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 - peramivir</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ORLADEYO business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 of product sales</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5,377 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Cost of product sales for the three months ended March 31, 2026 and 2025 were $5.4 million and $4.6 million, respectively. The increase in cost of product sales was primarily due to an increase in ORLADEYO sales, partially offset by a decrease in cost of product sales associated with our European ORLADEYO business due to the sale of our European ORLADEYO business to Neopharmed on October 1, 2025.</w:t>
      </w:r>
    </w:p>
    <w:p>
      <w:pPr>
        <w:pStyle w:val="TextBody"/>
        <w:bidi w:val="0"/>
        <w:spacing w:lineRule="auto" w:line="288" w:before="20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Acquired in-process research and development expense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Acquired in-process research and development expense was $697.8 million for the three months ended March 31, 2026 attributed to the value ascribed to the in-process research and development asset related to navenibart acquired as part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pPr>
      <w:r>
        <w:rPr>
          <w:rFonts w:ascii="Times New Roman;serif" w:hAnsi="Times New Roman;serif"/>
          <w:b w:val="false"/>
          <w:color w:val="000000"/>
          <w:sz w:val="20"/>
        </w:rPr>
        <w:t>of the Merger. See “</w:t>
      </w:r>
      <w:r>
        <w:rPr>
          <w:rFonts w:ascii="Times New Roman;serif" w:hAnsi="Times New Roman;serif"/>
          <w:b w:val="false"/>
          <w:i/>
          <w:color w:val="000000"/>
          <w:sz w:val="20"/>
        </w:rPr>
        <w:t>Note 2—Acquisition of Astria Therapeutics, Inc.</w:t>
      </w:r>
      <w:r>
        <w:rPr>
          <w:color w:val="000000"/>
        </w:rPr>
        <w:t xml:space="preserve">” </w:t>
      </w:r>
      <w:r>
        <w:rPr>
          <w:rFonts w:ascii="Times New Roman;serif" w:hAnsi="Times New Roman;serif"/>
          <w:b w:val="false"/>
          <w:color w:val="000000"/>
          <w:sz w:val="20"/>
        </w:rPr>
        <w:t>in the Notes to the Condensed Consolidated Financial Statements in Part I, Item 1 of this report for additional information on the Merger.</w:t>
      </w:r>
    </w:p>
    <w:p>
      <w:pPr>
        <w:pStyle w:val="TextBody"/>
        <w:bidi w:val="0"/>
        <w:spacing w:lineRule="auto" w:line="288" w:before="20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include all costs incurred to discover, develop and advance our product candidates and related technologies. These costs include direct costs, such as compensation for research and development personnel and costs paid to third-parties for laboratory studies, process development and manufacturing of product candidates, and the conduct and management of clinical trials and other clinical and preclinical activities. Additionally, direct expenses include those costs necessary to discontinue and close out a development program, including termination fees and other commitments. Research and development expenses also include indirect costs, such as lab supplies and services, facility costs, depreciation of development equipment and other overhead of our research and development activities. Research and development expenses vary based on the number of programs in development and the stage of development of each program. Later stage clinical programs generally require higher spending than earlier stage programs due to the longer length of time of the clinical trials and the higher patient enrollment.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do not maintain or evaluate internal research and development costs on a program-by-program basis, and certain costs may benefit multiple programs. Beginning in the quarter ended September 30, 2025, we no longer allocate non-program specific external costs or internal costs to programs. These costs are separately presented on the respective line items listed below. Research and development expenses have been reclassified for the three months ended March 31, 2025 for comparability. There is no impact on total research and development expenses.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research and development expenses, including program specific costs and shared or indirect operating costs, for the periods indicated: </w:t>
      </w:r>
    </w:p>
    <w:tbl>
      <w:tblPr>
        <w:tblW w:w="8739" w:type="dxa"/>
        <w:jc w:val="left"/>
        <w:tblInd w:w="0" w:type="dxa"/>
        <w:tblLayout w:type="fixed"/>
        <w:tblCellMar>
          <w:top w:w="28" w:type="dxa"/>
          <w:left w:w="28" w:type="dxa"/>
          <w:bottom w:w="28" w:type="dxa"/>
          <w:right w:w="28" w:type="dxa"/>
        </w:tblCellMar>
      </w:tblPr>
      <w:tblGrid>
        <w:gridCol w:w="2133"/>
        <w:gridCol w:w="1875"/>
        <w:gridCol w:w="1902"/>
        <w:gridCol w:w="243"/>
        <w:gridCol w:w="833"/>
        <w:gridCol w:w="125"/>
        <w:gridCol w:w="125"/>
        <w:gridCol w:w="125"/>
        <w:gridCol w:w="125"/>
        <w:gridCol w:w="243"/>
        <w:gridCol w:w="833"/>
        <w:gridCol w:w="177"/>
      </w:tblGrid>
      <w:tr>
        <w:trPr/>
        <w:tc>
          <w:tcPr>
            <w:tcW w:w="2133"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Navenibart</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BCX17725</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Berotralstat</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Avoralstat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STAR-0310</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discovery and preclinical programs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related personnel costs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non-program specific and indirect costs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ORLADEYO business (excluding stock-based compensation)</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research and development expenses</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60,319 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37,270 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to $60.3 million for the three months ended March 31, 2026 from $37.3 million for the three months ended March 31, 2025. The increase was primarily driven by the following: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$14.9 million increase in compensation and related personnel costs primarily due to expenses incurred in connection with the Merger, including the portion of the Astria stock option payout attributable to post-combination service, totaling $10.7 million, and $4.0 million of costs associated with separation agreements with certain Astria employees (see “</w:t>
      </w:r>
      <w:r>
        <w:rPr>
          <w:rFonts w:ascii="Times New Roman;serif" w:hAnsi="Times New Roman;serif"/>
          <w:b w:val="false"/>
          <w:i/>
          <w:color w:val="000000"/>
          <w:sz w:val="20"/>
        </w:rPr>
        <w:t>Note 2—Acquisition of Astria Therapeutics, Inc.</w:t>
      </w:r>
      <w:r>
        <w:rPr>
          <w:color w:val="000000"/>
        </w:rPr>
        <w:t xml:space="preserve">” </w:t>
      </w:r>
      <w:r>
        <w:rPr>
          <w:rFonts w:ascii="Times New Roman;serif" w:hAnsi="Times New Roman;serif"/>
          <w:b w:val="false"/>
          <w:color w:val="000000"/>
          <w:sz w:val="20"/>
        </w:rPr>
        <w:t>in the Notes to the Condensed Consolidated Financial Statements in Part I, Item 1 of this report for additional information on the Merger);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$9.7 million increase in navenibart and $0.7 million increase in STAR-0310 due to the acquisition of the Phase 3 and Phase 1a product candidates, respectively, in connection with the Merger.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These increases were partially offset by the following: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$1.7 million decrease in stock-based compensation expense primarily due to a decrease in research and development related headcount, partially offset by a modification to extend the post-termination exercise period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pPr>
      <w:r>
        <w:rPr>
          <w:rFonts w:ascii="Times New Roman;serif" w:hAnsi="Times New Roman;serif"/>
          <w:b w:val="false"/>
          <w:color w:val="000000"/>
          <w:sz w:val="20"/>
        </w:rPr>
        <w:t>certain vested stock option awards at the time of retirement for certain individuals to the original expiration date, resulting in $3.0 million of incremental expense in the first quarter of 2026 (see “</w:t>
      </w:r>
      <w:r>
        <w:rPr>
          <w:rFonts w:ascii="Times New Roman;serif" w:hAnsi="Times New Roman;serif"/>
          <w:b w:val="false"/>
          <w:i/>
          <w:color w:val="000000"/>
          <w:sz w:val="20"/>
        </w:rPr>
        <w:t>Note 11—Stock-Based Compensation</w:t>
      </w:r>
      <w:r>
        <w:rPr>
          <w:color w:val="000000"/>
        </w:rPr>
        <w:t xml:space="preserve">” </w:t>
      </w:r>
      <w:r>
        <w:rPr>
          <w:rFonts w:ascii="Times New Roman;serif" w:hAnsi="Times New Roman;serif"/>
          <w:b w:val="false"/>
          <w:color w:val="000000"/>
          <w:sz w:val="20"/>
        </w:rPr>
        <w:t>in the Notes to the Condensed Consolidated Financial Statements in Part I, Item 1 of this report);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$1.6 million decrease in avoralstat due to a decrease in manufacturing activities and the discontinuation of the program in the first quarter of 2026. </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include compensation, benefits, and related costs associated with sales and marketing personnel, safety, regulatory, manufacturing, and distribution activities related to marketed products, market research, marketing, medical affairs, market access, and advertising costs. General and administrative expenses include compensation, benefits, and related costs associated with general and administrative personnel, quality activities related to marketed products, finance, human resources, information technology, legal expenses, licenses and other administrative costs, including transaction-related costs.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selling, general, and administrative expenses for the periods indicated:</w:t>
      </w:r>
    </w:p>
    <w:tbl>
      <w:tblPr>
        <w:tblW w:w="8738" w:type="dxa"/>
        <w:jc w:val="left"/>
        <w:tblInd w:w="0" w:type="dxa"/>
        <w:tblLayout w:type="fixed"/>
        <w:tblCellMar>
          <w:top w:w="28" w:type="dxa"/>
          <w:left w:w="28" w:type="dxa"/>
          <w:bottom w:w="28" w:type="dxa"/>
          <w:right w:w="28" w:type="dxa"/>
        </w:tblCellMar>
      </w:tblPr>
      <w:tblGrid>
        <w:gridCol w:w="2141"/>
        <w:gridCol w:w="1879"/>
        <w:gridCol w:w="1889"/>
        <w:gridCol w:w="243"/>
        <w:gridCol w:w="833"/>
        <w:gridCol w:w="125"/>
        <w:gridCol w:w="125"/>
        <w:gridCol w:w="125"/>
        <w:gridCol w:w="125"/>
        <w:gridCol w:w="243"/>
        <w:gridCol w:w="833"/>
        <w:gridCol w:w="177"/>
      </w:tblGrid>
      <w:tr>
        <w:trPr/>
        <w:tc>
          <w:tcPr>
            <w:tcW w:w="2141"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(excluding stock-based compensation)</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(excluding stock-based compensation)</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42,393 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ORLADEYO business (excluding stock-based compensation)</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selling, general, and administrative expenses</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94,554 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82,469 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(excluding stock-based compensation) increased to $43.0 million for the three months ended March 31, 2026 from $38.5 million for the three months ended March 31, 2025. The increase was primarily driven by the following: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$3.7 million of expense associated with the portion of the Astria stock option payout attributable to post-combination service in connection with the Merger; and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$1.7 million of expense associated with separation agreements with certain Astria employees in connection with the Merger.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These increases were partially offset by a $1.4 million decrease in commercial-stage study activities that did not recur in the current quarter.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(excluding stock-based compensation) increased to $42.4 million for the three months ended March 31, 2026 from $19.5 million for the three months ended March 31, 2025. The increase was primarily driven by the following: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$14.7 million of expense associated with the portion of the Astria stock option payout attributable to post-combination service in connection with the Merger;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$6.3 million of expense associated with separation agreements with certain Astria employees in connection with the Merger;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$2.5 million increase due to incremental employee, facility, and other costs associated with Astria.</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Expenses associated with our European ORLADEYO business (excluding stock-based compensation) were $11.6 million for the three months ended March 31, 2025. There were no corresponding expenses for the three months ended March 31, 2026 due to the sale of our European ORLADEYO business to Neopharmed on October 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decreased to $9.2 million for the three months ended March 31, 2026 from $12.8 million for the three months ended March 31, 2025. The decrease was primarily attributed to employee turnover, including the transition of employees associated with our European ORLADEYO business to Neopharmed on October 1, 2025, partially offset by an increase in restricted stock unit awards granted.</w:t>
      </w:r>
    </w:p>
    <w:p>
      <w:pPr>
        <w:pStyle w:val="TextBody"/>
        <w:bidi w:val="0"/>
        <w:spacing w:lineRule="auto" w:line="288" w:before="20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 xml:space="preserve">Other income (expense) </w:t>
      </w:r>
    </w:p>
    <w:p>
      <w:pPr>
        <w:pStyle w:val="TextBody"/>
        <w:bidi w:val="0"/>
        <w:spacing w:lineRule="auto" w:line="288" w:before="200" w:after="283"/>
        <w:ind w:left="0" w:right="0" w:firstLine="58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interest income was $2.3 million compared to $3.0 million for the three months ended March 31, 2025. The decrease in interest income was primarily driven by lower interest rates and an overall decrease in our average investment portfolio. Net foreign currency losses were $0.2 million for the three months ended March 31, 2026 compared to net foreign currency gains of less than $0.1 million for the three months ended March 31, 2025. </w:t>
      </w:r>
    </w:p>
    <w:p>
      <w:pPr>
        <w:pStyle w:val="TextBody"/>
        <w:bidi w:val="0"/>
        <w:spacing w:lineRule="auto" w:line="288" w:before="200" w:after="283"/>
        <w:ind w:left="0" w:right="0" w:firstLine="540"/>
        <w:jc w:val="left"/>
        <w:rPr/>
      </w:pPr>
      <w:r>
        <w:rPr>
          <w:rFonts w:ascii="Times New Roman;serif" w:hAnsi="Times New Roman;serif"/>
          <w:b w:val="false"/>
          <w:color w:val="000000"/>
          <w:sz w:val="20"/>
        </w:rPr>
        <w:t>Interest expense for the three months ended March 31, 2026 was $19.8 million compared to $23.5 million for the three months ended March 31, 2025. Interest expense was primarily comprised of non-cash interest expense due to the amortization of interest associated with our royalty financing obligations and interest expense associated with the borrowings under the Blackstone Loan Agreement for the three months ended March 31, 2026 and Pharmakon Loan Agreement (as defined in “</w:t>
      </w:r>
      <w:r>
        <w:rPr>
          <w:rFonts w:ascii="Times New Roman;serif" w:hAnsi="Times New Roman;serif"/>
          <w:b w:val="false"/>
          <w:i/>
          <w:color w:val="000000"/>
          <w:sz w:val="20"/>
        </w:rPr>
        <w:t>Note 8—Debt</w:t>
      </w:r>
      <w:r>
        <w:rPr>
          <w:color w:val="000000"/>
        </w:rPr>
        <w:t xml:space="preserve">” </w:t>
      </w:r>
      <w:r>
        <w:rPr>
          <w:rFonts w:ascii="Times New Roman;serif" w:hAnsi="Times New Roman;serif"/>
          <w:b w:val="false"/>
          <w:color w:val="000000"/>
          <w:sz w:val="20"/>
        </w:rPr>
        <w:t xml:space="preserve">in the Notes to the Condensed Consolidated Financial Statements in Part I, Item 1 of this report) for the three months ended March 31, 2025. The decrease in interest expense was primarily due to the fact that borrowings under the Blackstone Loan Agreement were not outstanding for the full first quarter of 2026, whereas the historical Pharmakon Loan Agreement was outstanding for the full first quarter of 2025 and a lower effective interest rate.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other expense, net was $1.5 million, which was primarily comprised of a $2.8 million mark-to-market adjustment on liability classified awards, partially offset by $1.2 million of other income associated with post-close transition services provided to Neopharmed. </w:t>
      </w:r>
    </w:p>
    <w:p>
      <w:pPr>
        <w:pStyle w:val="TextBody"/>
        <w:bidi w:val="0"/>
        <w:spacing w:lineRule="auto" w:line="288" w:before="20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income tax expense was $1.0 million compared to income tax expense of $0.7 million for the three months ended March 31, 2025. The increase was primarily driven by an increase in U.S. state tax expense as a result of increased profitability after adjusting for significant non-deductible permanent differences, primarily related to the in-process research and development expense for the navenibart asset acquired as part of the Merger, for the three months ended March 31, 2026 compared to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operations have principally been funded through our credit facilities; revenues from ORLADEYO; royalty financing transactions; public offerings and private placements of equity securities; and cash from collaborative and other research and development agreements, including U.S. Government contracts. In addition to the above, we have received funding from other sources, including government grants, research grants, and interest income on our investments.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the Closing Date, we entered into the Blackstone Loan Agreement, pursuant to which the lenders funded the Term Loans in the aggregate principal amount of $400.0 million. We used the proceeds from the Term Loans to pay the cash portion of the consideration required to consummate the Merger. The maturity date of the Term Loans under the Blackstone Loan Agreement is January 23, 2031. Subject to the mutual agreement between us, Blackstone and the lenders, we may request additional term loans up to an aggregate principal amount not exceeding $150.0 million. Our obligations under the Blackstone Loan Agreement are secured by a security interest in, subject to certain exceptions, substantially all of our and our subsidiaries’ assets.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Blackstone Loan Agreement also contains representations and warranties and affirmative and negative covenants customary for financings of this type (including a minimum liquidity covenant), as well as customary events of default. Certain of the customary negative covenants limit our ability and certain of our subsidiaries to, among other things, dispose of assets, engage in mergers, acquisitions and similar transactions, incur additional indebtedness, grant liens, make investments, pay dividends or make distributions or certain other restricted payments in respect of equity, prepay certain other indebtedness, enter into restrictive agreements, undertake fundamental changes or amend certain material contracts, among other customary covenants, in each case subject to certain exceptions. A failure to comply with the covenants in the Blackstone Loan Agreement, or an occurrence of any other event of default, could permit the lenders under the Blackstone Loan Agreement to declare the borrowings thereunder, together with accrued interest and fees, and any applicable yield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pPr>
      <w:r>
        <w:rPr>
          <w:rFonts w:ascii="Times New Roman;serif" w:hAnsi="Times New Roman;serif"/>
          <w:b w:val="false"/>
          <w:color w:val="000000"/>
          <w:sz w:val="20"/>
        </w:rPr>
        <w:t>protection premium, to be immediately due and payable. See “</w:t>
      </w:r>
      <w:r>
        <w:rPr>
          <w:rFonts w:ascii="Times New Roman;serif" w:hAnsi="Times New Roman;serif"/>
          <w:b w:val="false"/>
          <w:i/>
          <w:color w:val="000000"/>
          <w:sz w:val="20"/>
        </w:rPr>
        <w:t>Note 8—Debt</w:t>
      </w:r>
      <w:r>
        <w:rPr>
          <w:color w:val="000000"/>
        </w:rPr>
        <w:t xml:space="preserve">” </w:t>
      </w:r>
      <w:r>
        <w:rPr>
          <w:rFonts w:ascii="Times New Roman;serif" w:hAnsi="Times New Roman;serif"/>
          <w:b w:val="false"/>
          <w:color w:val="000000"/>
          <w:sz w:val="20"/>
        </w:rPr>
        <w:t>in the Notes to the Condensed Consolidated Financial Statements in Part I, Item 1 of this report for additional information about the Blackstone Loan Agreement.</w:t>
      </w:r>
    </w:p>
    <w:p>
      <w:pPr>
        <w:pStyle w:val="TextBody"/>
        <w:bidi w:val="0"/>
        <w:spacing w:lineRule="auto" w:line="288" w:before="200" w:after="283"/>
        <w:ind w:left="0" w:right="0" w:firstLine="540"/>
        <w:jc w:val="left"/>
        <w:rPr/>
      </w:pPr>
      <w:r>
        <w:rPr>
          <w:rFonts w:ascii="Times New Roman;serif" w:hAnsi="Times New Roman;serif"/>
          <w:b w:val="false"/>
          <w:color w:val="000000"/>
          <w:sz w:val="20"/>
        </w:rPr>
        <w:t>In 2020 and 2021, we entered into the Royalty Purchase Agreements (as defined in “</w:t>
      </w:r>
      <w:r>
        <w:rPr>
          <w:rFonts w:ascii="Times New Roman;serif" w:hAnsi="Times New Roman;serif"/>
          <w:b w:val="false"/>
          <w:i/>
          <w:color w:val="000000"/>
          <w:sz w:val="20"/>
        </w:rPr>
        <w:t>Note 7—Royalty Financing Obligations</w:t>
      </w:r>
      <w:r>
        <w:rPr>
          <w:color w:val="000000"/>
        </w:rPr>
        <w:t xml:space="preserve">” </w:t>
      </w:r>
      <w:r>
        <w:rPr>
          <w:rFonts w:ascii="Times New Roman;serif" w:hAnsi="Times New Roman;serif"/>
          <w:b w:val="false"/>
          <w:color w:val="000000"/>
          <w:sz w:val="20"/>
        </w:rPr>
        <w:t>in the Notes to the Condensed Consolidated Financial Statements in Part I, Item 1 of this report) with RPI 2019 Intermediate Finance Trust (“RPI”) and OCM IP Healthcare Holdings Limited, an affiliate of OMERS Capital Markets (“OMERS”). Under the Royalty Purchase Agreements, RPI and OMERS are entitled to receive tiered, sales-based royalties on net product sales of ORLADEYO in the United State</w:t>
      </w:r>
      <w:r>
        <w:rPr>
          <w:rFonts w:ascii="Times New Roman;serif" w:hAnsi="Times New Roman;serif"/>
          <w:b w:val="false"/>
          <w:color w:val="000000"/>
          <w:sz w:val="20"/>
          <w:shd w:fill="FFFFFF" w:val="clear"/>
        </w:rPr>
        <w:t xml:space="preserve">s and certain key European markets (collectively, the “Key </w:t>
      </w:r>
      <w:r>
        <w:rPr>
          <w:rFonts w:ascii="Times New Roman;serif" w:hAnsi="Times New Roman;serif"/>
          <w:b w:val="false"/>
          <w:color w:val="000000"/>
          <w:sz w:val="20"/>
        </w:rPr>
        <w:t>Territories”), and other markets where we sell ORLADEYO directly or through distributors. In addition, RPI and OMERS are entitled to receive a tiered revenue share on amounts generally received by us on account of ORLADEYO sublicense revenue or net sales by licensees outside of the Key Territories. Our required payments to OMERS commenced with the calendar quarter beginning October 1, 2023. No royalty payments are due on direct sales over $550.0 million. See “</w:t>
      </w:r>
      <w:r>
        <w:rPr>
          <w:rFonts w:ascii="Times New Roman;serif" w:hAnsi="Times New Roman;serif"/>
          <w:b w:val="false"/>
          <w:i/>
          <w:color w:val="000000"/>
          <w:sz w:val="20"/>
        </w:rPr>
        <w:t>Note 7—Royalty Financing Obligations</w:t>
      </w:r>
      <w:r>
        <w:rPr>
          <w:color w:val="000000"/>
        </w:rPr>
        <w:t xml:space="preserve">” </w:t>
      </w:r>
      <w:r>
        <w:rPr>
          <w:rFonts w:ascii="Times New Roman;serif" w:hAnsi="Times New Roman;serif"/>
          <w:b w:val="false"/>
          <w:color w:val="000000"/>
          <w:sz w:val="20"/>
        </w:rPr>
        <w:t>in the Notes to the Condensed Consolidated Financial Statements in Part I, Item 1 of this report for additional information about these financing transactions.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principal source of liquidity at March 31, 2026 was $259.0 million in cash and cash equivalents and available-for-sale investments.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each period presented:</w:t>
      </w:r>
    </w:p>
    <w:tbl>
      <w:tblPr>
        <w:tblW w:w="8529" w:type="dxa"/>
        <w:jc w:val="left"/>
        <w:tblInd w:w="0" w:type="dxa"/>
        <w:tblLayout w:type="fixed"/>
        <w:tblCellMar>
          <w:top w:w="28" w:type="dxa"/>
          <w:left w:w="28" w:type="dxa"/>
          <w:bottom w:w="28" w:type="dxa"/>
          <w:right w:w="28" w:type="dxa"/>
        </w:tblCellMar>
      </w:tblPr>
      <w:tblGrid>
        <w:gridCol w:w="2061"/>
        <w:gridCol w:w="1814"/>
        <w:gridCol w:w="1825"/>
        <w:gridCol w:w="229"/>
        <w:gridCol w:w="866"/>
        <w:gridCol w:w="118"/>
        <w:gridCol w:w="118"/>
        <w:gridCol w:w="118"/>
        <w:gridCol w:w="118"/>
        <w:gridCol w:w="229"/>
        <w:gridCol w:w="866"/>
        <w:gridCol w:w="167"/>
      </w:tblGrid>
      <w:tr>
        <w:trPr/>
        <w:tc>
          <w:tcPr>
            <w:tcW w:w="2061"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(61,791)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(268,648)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 cash equivalents and restricted cash</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 and restricted cash</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82,041 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net cash used in operating activities of $61.8 million consisted primarily of a net loss of $721.8 million and $71.4 million of changes in operating assets and liabilities, primarily due to decreases in accounts payable and accrued expenses, royalty financing obligations, and prepaid expenses and other assets, partially offset by an increase in receivables. These items were partially offset by $731.4 million of non-cash items, primarily related to $697.8 million of acquired in-process research and development expense, $16.0 million of stock-based compensation expense, $13.3 million of non-cash interest expense on royalty financing obligations, and a $2.8 million of mark-to-market adjustment related to our share-based liability.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net cash used in operating activities of $27.5 million consisted primarily of $62.1 million of changes in operating assets and liabilities, primarily due to decreases in accounts payable and accrued expenses and royalty financing obligations, and an increase in receivables, partially offset by $34.6 million of non-cash items, including $21.4 million of stock-based compensation expense and $13.5 million in non-cash interest expense on royalty financing obligations.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net cash used in investing activities of $268.6 million primarily related to cash paid for the acquisition of Astria, net of cash acquired, of $489.5 million, partially offset by $221.2 million of sales and maturities of investment securities.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net cash provided by investing activities of $27.1 million primarily related to maturities of investment securities of $76.0 million, partially offset by purchases of investment securities of $48.8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net cash provided by financing activities of $412.6 million primarily consisted of net proceeds from the Term Loans under the Blackstone Loan Agreement of $395.0 million and common stock issued under stock-based compensation plans of $19.5 million, partially offset by withholding taxes paid on stock-based awards of $1.2 million.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net cash provided by financing activities of $0.5 million primarily consisted of net proceeds from common stock issued under stock-based compensation plans, partially offset by withholding taxes paid on stock-based awards and principal payments on finance lease liabilities.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Plan of Operation and Future Funding Requirements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intend to contain costs and cash flow requirements by closely managing our third-party costs and headcount, leasing scientific equipment and facilities, and contracting with other parties to conduct certain research and development projects. We may incur additional expenses, potentially resulting in significant losses, as we continue to pursue our research and development activities, commercialize ORLADEYO, and engage in strategic business development. We may incur additional expenses related to the filing, prosecution, maintenance, defense, and enforcement of patent and other intellectual property claims and additional regulatory costs as our clinical programs advance through later stages of development or as regulatory exclusivity for our products expires. The objective of our investment policy is to ensure the safety and preservation of invested funds, as well as to maintain liquidity sufficient to meet cash flow requirements. We place our excess cash with high credit quality financial institutions. We invest in marketable debt securities that may consist of U.S. Treasury obligations, U.S. government agency securities, money market funds, certificates of deposit, and corporate notes and bonds in order to limit the amount of our credit exposure. We have not realized any significant losses on our investments.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the future, we may finance our needs principally from the following: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existing capital resources and interest earned on that capital;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revenues from product sales;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payments under current or future collaborative and licensing agreements with corporate partners;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lease, royalty, or loan financing;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public or private equity and/or debt financing.</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current and planned clinical trials, plus the related development, manufacturing, regulatory approval process requirements, and additional resources required for the continuing development of our product candidates and the commercialization of our products will consume significant capital resources and could increase our expenses.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expenses, revenues and cash utilization rate could vary significantly depending on many factors, including the progress and results of our current and proposed clinical trials for our product candidates; the progress made in the manufacturing of our lead product candidates; the success of our commercialization efforts for, and market acceptance of, our products; the overall progression of our other programs; our business development activities; the amount of funding or assistance, if any, we receive from new partnerships with third parties for the development and/or commercialization of our products and product candidates; the development progress of any collaborative agreements for our product candidates; and the amount and timing of funding we receive, if any, from U.S. Government contracts.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on our expectations for revenue and operating expenses, we believe our financial resources will be sufficient to fund our operations for at least the next 12 months. Our liquidity needs will be largely determined by the success of operations in regard to the successful commercialization of our products and the future progression of our product candidates. From time to time, we evaluate other opportunities to fund future operations, including: (1) out-licensing rights to certain of our products or product candidates, pursuant to which we would receive cash milestone payments; (2) obtaining additional product candidate regulatory approvals, which would generate revenue, milestone payments and cash flow; (3) reducing spending on one or more research and development programs, including by discontinuing development; (4) restructuring operations to change our overhead structure; and/or (5) securing U.S. Government funding of our programs, including obtaining procurement contracts. We may, in the future, issue securities, including common stock, preferred stock, depositary shares, purchase contracts, warrants, debt securities, and units, through private placement transactions or registered public offerings. Our future liquidity needs, and our ability to address those needs, will largely be determined by the success of our products and product candidates; the success of our business development efforts; the timing, scope, and magnitude of our research and development and commercial expenses; and key developments and regulatory events and our decisions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long-term capital requirements and the adequacy of our available funds will depend upon many factors, including: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sustained market acceptance of approved products and successful commercialization of such products by either us or our partners;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progress and magnitude of our research, drug discovery and development programs;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existing collaborative relationships;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establish additional collaborative relationships if and when needed;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extent to which our partners will share in the costs associated with the development of our programs or run the development programs themselves;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negotiate favorable development and marketing strategic alliances for certain products and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decision to build or expand internal development and commercial capabilities;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scope and results of preclinical studies and clinical trials to identify and develop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engage sites and enroll subjects in our clinical trials;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scope of manufacturing of our products to support our commercial operations and of our product candidates to support our preclinical research and clinical trials;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increases in personnel and related costs to support the development and commercialization of our products and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scope of manufacturing of our drug substance and product candidates required for future new drug application filings;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competitive and technological advances;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time and costs involved in obtaining regulatory approvals;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post-approval commitments for any products that receive regulatory approval;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business development activities;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costs involved in all aspects of intellectual property strategy and protection, including the costs involved in preparing, filing, prosecuting, maintaining, defending, and enforcing patent claims.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may, in the future, be required to raise additional capital to complete the development and commercialization of our products and product candidates, and we may seek to raise capital in the future, including to take advantage of favorable opportunities in the capital markets. Additional funding may not be available when needed or in the form or on terms acceptable to us. Our future working capital requirements, including the need for additional working capital, will largely be determined by the advancement of our portfolio of product candidates and the commercialization of ORLADEYO. More specifically, our working capital requirements will be dependent on the number, magnitude, scope and timing of our development programs; regulatory approval of our product candidates; the cost, timing and outcome of regulatory reviews, regulatory investigations, and changes in regulatory requirements; the costs of obtaining patent protection for our product candidates; the timing and terms of business development activities; the rate of technological advances relevant to our operations; the efficiency of manufacturing processes developed on our behalf by third parties; the timing, scope and magnitude of commercial spending; and the level of required administrative support for our daily operations. See “</w:t>
      </w:r>
      <w:r>
        <w:rPr>
          <w:rFonts w:ascii="Times New Roman;serif" w:hAnsi="Times New Roman;serif"/>
          <w:b w:val="false"/>
          <w:i/>
          <w:color w:val="000000"/>
          <w:sz w:val="20"/>
        </w:rPr>
        <w:t>Risk Factors—Risks Relating to Our Business—Financial and Liquidity Risks</w:t>
      </w:r>
      <w:r>
        <w:rPr>
          <w:color w:val="000000"/>
        </w:rPr>
        <w:t xml:space="preserve">” </w:t>
      </w:r>
      <w:r>
        <w:rPr>
          <w:rFonts w:ascii="Times New Roman;serif" w:hAnsi="Times New Roman;serif"/>
          <w:b w:val="false"/>
          <w:color w:val="000000"/>
          <w:sz w:val="20"/>
        </w:rPr>
        <w:t xml:space="preserve">in Part II, Item 1A of this report for further discussion of the risks related to obtaining additional capital.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preparation of these consolidated financial statements in accordance with U.S. GAAP requires us to make estimates and judgments that affect the reported amounts of assets, liabilities, revenues, expenses, and related disclosures for the periods presented. Some of these estimates can be subjective and complex with a significant level of estimation uncertainty, and, consequently, actual results may differ from these estimates. The judgments and assumptions used by management are based on historical experience and information available to us at the time that we make these estimates and judgments. To the extent there are material differences between these estimates and actual results, our consolidated financial statements will be affected. Although we believe that our judgments and estimates are appropriate, actual results may differ from these estimates.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While our significant accounting policies are more fully described in “</w:t>
      </w:r>
      <w:r>
        <w:rPr>
          <w:rFonts w:ascii="Times New Roman;serif" w:hAnsi="Times New Roman;serif"/>
          <w:b w:val="false"/>
          <w:i/>
          <w:color w:val="000000"/>
          <w:sz w:val="20"/>
        </w:rPr>
        <w:t>Note 1—Significant Accounting Policies and Concentrations of Risk</w:t>
      </w:r>
      <w:r>
        <w:rPr>
          <w:color w:val="000000"/>
        </w:rPr>
        <w:t xml:space="preserve">” </w:t>
      </w:r>
      <w:r>
        <w:rPr>
          <w:rFonts w:ascii="Times New Roman;serif" w:hAnsi="Times New Roman;serif"/>
          <w:b w:val="false"/>
          <w:color w:val="000000"/>
          <w:sz w:val="20"/>
        </w:rPr>
        <w:t>in the Notes to the Condensed Consolidated Financial Statements in Part I, Item 1 of this report, we believe the following accounting policies to be most critical to the judgments and estimates used in the preparation of our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40" w:after="283"/>
        <w:ind w:left="0" w:right="0" w:firstLine="540"/>
        <w:jc w:val="left"/>
        <w:rPr/>
      </w:pPr>
      <w:r>
        <w:rPr>
          <w:rFonts w:ascii="Times New Roman;serif" w:hAnsi="Times New Roman;serif"/>
          <w:b w:val="false"/>
          <w:color w:val="000000"/>
          <w:sz w:val="20"/>
        </w:rPr>
        <w:t xml:space="preserve">The application of Accounting Standards Codification (“ASC”)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substantially impacts our reported results, particularly product sales, net, which requires certain estimates in determining the transaction price.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revenue from sales of ORLADEYO is recorded at net selling price (transaction price), which includes reserves for variable consideration such as (i) estimated government rebates, such as Medicaid and Medicare Part D reimbursements, and estimated managed care rebates, (ii) estimated chargebacks, (iii) estimated costs of co-payment assistance programs, and (iv) product returns. These reserves, representing our best estimates of the amount of consideration to which we are entitled based on the terms of the applicable contracts and statutory requirements, are based on the amounts earned or to be claimed on the related sales and are classified as reductions of accounts receivable if no payments are required of us or a current liability if a payment is required of us. Actual amounts of consideration may differ from our estimates. If actual results vary from estimates, these estimates are adjusted, which would affect net product revenue and earnings in the period such variances become known.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most subjective of these estimates are government and managed care rebates. We contract with group purchasing organizations associated with managed care organizations and participate in certain government programs or, collectively, third-party payors, so that ORLADEYO will be eligible for purchase by, or partial or full reimbursement from, such third-party payors. We estimate the rebates we will provide to third-party payors and deduct these estimated amounts from total gross product revenues at the time the revenues are recognized, resulting in a reduction of product revenue and the establishment of a current liability. We estimate the rebates that we will provide to third-party payors based upon (i) our contracts with these third-party payors, (ii) the contractually mandated discounts applicable to the programs, and (iii) product distribution information obtained from our specialty pharmacy regarding payor mix.</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Expenses and Related Accruals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process of preparing our consolidated financial statements, we estimate our accrued research and development expenses. This process involves reviewing open contracts and purchase orders, communicating with applicable Company personnel to identify services that have been performed on our behalf and estimating the actual work completed and the associated cost incurred for the service when we have not yet been invoiced or otherwise notified of actual cost. The majority of our service providers invoice us monthly in arrears for services performed. We periodically confirm the accuracy of our estimates with the service providers and adjust if necessary. When evaluating the adequacy of accrued expenses, we consider facts and circumstances known to us at the time, which can include assumptions such as expected patient enrollment, site activation and estimated project duration. Examples of estimated accrued research and development expenses include (i) fees paid to CROs in connection with preclinical and toxicology studies and clinical trials, (ii) fees paid to investigative sites in connection with clinical trials, (iii) fees paid to contract manufacturers in connection with the production of our raw materials, drug substance, drug products, and product candidates, and (iv) professional fees.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terms of our agreements are subject to negotiation, vary from contract to contract and may result in uneven payment flows. Payments under some of these contracts depend on factors such as the successful enrollment of patients and the completion of milestones. We record liabilities under these contractual commitments when we determine an obligation has been incurred, regardless of the timing of the invoice. In expensing service fees, we estimate the time period over which services will be performed and the level of effort expended in each period. If the actual timing of the performance of services or the level of effort varies from our estimate, we will adjust the accrual accordingly. If we do not identify costs that we have begun to incur or if we underestimate or overestimate the level of these costs, our actual expenses could differ from our estimates.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Royalty Financing Obligations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royalty financing obligations, RPI and OMERS are entitled to receive sales-based royalties on net product sales of ORLADEYO. Interest expense is accrued using the effective interest rate method over the estimated period each of the related liabilities will be paid. This requires us to estimate the total amount of future royalty payments to be generated from product sales over the life of the agreements. We impute interest on the carrying values of each of the royalty financing obligations and record interest expense using an imputed effective interest rate. We reassess the expected royalty payments each reporting period and account for any changes through adjustments to the effective interest rates on a prospective basis. The assumptions used in determining the expected repayment terms of the debt and amortization periods of the issuance costs requires that we make estimates that could impact the carrying value of each of the liabilities, as well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the periods over which associated issuance costs will be amortized. A significant increase or decrease in forecasted net sales could materially impact each of the liability balances, interest expense and the time periods for repayment.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Asset Acquisitions and Acquired In-Process Research and Development </w:t>
      </w:r>
    </w:p>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Accounting for asset acquisitions requires significant judgment, including the application of the screen test in accordance with ASC Topic 805, </w:t>
      </w:r>
      <w:r>
        <w:rPr>
          <w:rFonts w:ascii="Times New Roman;serif" w:hAnsi="Times New Roman;serif"/>
          <w:b w:val="false"/>
          <w:i/>
          <w:color w:val="000000"/>
          <w:sz w:val="20"/>
        </w:rPr>
        <w:t xml:space="preserve">Business Combinations, </w:t>
      </w:r>
      <w:r>
        <w:rPr>
          <w:rFonts w:ascii="Times New Roman;serif" w:hAnsi="Times New Roman;serif"/>
          <w:b w:val="false"/>
          <w:color w:val="000000"/>
          <w:sz w:val="20"/>
        </w:rPr>
        <w:t>and the valuation of acquired in</w:t>
        <w:noBreakHyphen/>
        <w:t>process research and development (“IPR&amp;D”). Determining whether substantially all of the fair value of the gross assets acquired is concentrated in a single identifiable asset requires estimates of relative fair values. When substantially all of the fair value is allocated to IPR&amp;D, the estimated fair value of that asset represents a critical accounting estimate and is based on significant assumptions, including development timelines, probabilities of technical and regulatory success, expected future revenues, market conditions, and discount rates. In certain circumstances, we may conclude that an acquired IPR&amp;D asset has no measurable fair value at the acquisition date based on market participant considerations. Changes in these assumptions or judgments could materially affect our accounting conclusions and amounts recognized in our condensed consolidated financial statements.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liability method is used in our accounting for income taxes. Significant management judgment is required in determining our provision for income taxes, deferred tax assets and liabilities and any valuation allowance recorded against net deferred tax assets. We have recorded a valuation allowance against substantially all potential tax assets, due to uncertainties in our ability to utilize deferred tax assets, primarily consisting of certain net operating losses carried forward, before they expire. The valuation allowance is based on estimates of future earnings in each of the jurisdictions in which we operate and the period over which our deferred tax assets will be recoverable.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account for uncertain tax positions in accordance with U.S. GAAP. Uncertain tax positions are recorded based upon certain recognition and measurement criteria. We re-evaluate uncertain tax positions and consider various factors, including, but not limited to, changes in tax law and the measurement of tax positions taken or expected to be taken in tax returns. We adjust the amount of the liability to reflect any subsequent changes in the relevant facts and circumstances surrounding the uncertain tax positions.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00" w:after="283"/>
        <w:ind w:left="0" w:right="0" w:firstLine="540"/>
        <w:jc w:val="left"/>
        <w:rPr/>
      </w:pPr>
      <w:r>
        <w:rPr>
          <w:color w:val="000000"/>
        </w:rPr>
        <w:t>“</w:t>
      </w:r>
      <w:r>
        <w:rPr>
          <w:rFonts w:ascii="Times New Roman;serif" w:hAnsi="Times New Roman;serif"/>
          <w:b w:val="false"/>
          <w:i/>
          <w:color w:val="000000"/>
          <w:sz w:val="20"/>
        </w:rPr>
        <w:t>Note 1—Significant Accounting Policies and Concentrations of Risk</w:t>
      </w:r>
      <w:r>
        <w:rPr>
          <w:color w:val="000000"/>
        </w:rPr>
        <w:t xml:space="preserve">” </w:t>
      </w:r>
      <w:r>
        <w:rPr>
          <w:rFonts w:ascii="Times New Roman;serif" w:hAnsi="Times New Roman;serif"/>
          <w:b w:val="false"/>
          <w:color w:val="000000"/>
          <w:sz w:val="20"/>
        </w:rPr>
        <w:t>in the Notes to the Condensed Consolidated Financial Statements included in Part I, Item 1 of this report discusses accounting pronouncements recently issued or proposed but not yet required to be adopted.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are subject to interest rate risk on our investment portfolio and borrowings under our Blackstone Loan Agreement. The Term Loans under the Blackstone Loan Agreement accrue interest each quarter at a rate equal to the three-month Secured Overnight Financing Rate (“SOFR”), which is capped to be no less than 1.75%, plus 4.50% per annum, plus 0.50% per annum for each quarterly interest period in which a Blackstone PIK Interest Payment (as defined in “</w:t>
      </w:r>
      <w:r>
        <w:rPr>
          <w:rFonts w:ascii="Times New Roman;serif" w:hAnsi="Times New Roman;serif"/>
          <w:b w:val="false"/>
          <w:i/>
          <w:color w:val="000000"/>
          <w:sz w:val="20"/>
        </w:rPr>
        <w:t>Note 8—Debt</w:t>
      </w:r>
      <w:r>
        <w:rPr>
          <w:color w:val="000000"/>
        </w:rPr>
        <w:t xml:space="preserve">” </w:t>
      </w:r>
      <w:r>
        <w:rPr>
          <w:rFonts w:ascii="Times New Roman;serif" w:hAnsi="Times New Roman;serif"/>
          <w:b w:val="false"/>
          <w:color w:val="000000"/>
          <w:sz w:val="20"/>
        </w:rPr>
        <w:t>in the Notes to the Condensed Consolidated Financial Statements included in Part I, Item 1 of this report) is made. Accordingly, increases in interest rates will increase the associated interest payments that we are required to make on the Term Loans. For the three months ended March 31, 2026, interest was accrued at an effective rate of 8.47% on the Term Loans under the Blackstone Loan Agreement.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invest in marketable securities in accordance with our investment policy. The primary objectives of our investment policy are to preserve capital, maintain proper liquidity to meet operating needs and earn a competitive level of return. Our investment policy specifies credit quality standards for our investments and limits the amount of credit exposure to any single issue, issuer or type of investment. We place our excess cash with high credit quality financial institutions, commercial companies, and government agencies in order to limit the amount of credit exposure. Some of the securities we invest in may have market risk. This means that a change in prevailing interest rates may cause the principal amount of the investment to fluctuate.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investment exposure to market risk for changes in interest rates relates to the increase or decrease in the amount of interest income we can earn on our portfolio, changes in the market value due to changes in interest rates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market factors, as well as the increase or decrease in any realized gains and losses. Our investment portfolio includes only marketable securities and instruments with active secondary or resale markets to help ensure portfolio liquidity. A hypothetical 100 basis point increase or decrease in interest rates along the entire interest rate yield curve would not significantly affect the fair value of our interest sensitive financial instruments, including our borrowings, but may affect our future earnings and cash flows. We generally have the ability to hold our fixed-income investments to maturity and, therefore, do not expect that our operating results, financial position or cash flows will be materially impacted due to a sudden change in interest rates. However, our future investment income may fall short of expectations due to changes in interest rates, or we may suffer losses in principal if forced to sell securities which have declined in market value due to changes in interest rates or other factors, such as changes in credit risk related to the securities’ issuers. To minimize this risk, we schedule our investments to have maturities that coincide with our expected cash flow needs, thus avoiding the need to redeem an investment prior to its maturity date. Accordingly, we do not believe that we have material exposure to interest rate risk arising from our investments. Generally, our investments are not collateralized. We have not realized any significant losses from our investments.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do not use interest rate derivative instruments to manage exposure to interest rate changes. We ensure the safety and preservation of invested principal funds by limiting default risk, market risk and reinvestment risk. We reduce default risk by investing exclusively in investment grade securities.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Most of our revenues and expenses are denominated in U.S. dollars. Our royalties from Torii are in Japanese Yen. We also had other transactions denominated in foreign currencies during the three months ended March 31, 2026, including contract manufacturing and ex-U.S. clinical trial activities, and we expect to continue to do so. Our limited foreign currency exposure relative to our operations is primarily to fluctuations in the Japanese Yen, Canadian Dollar, and Euro.</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anticipate that foreign currency transaction gains or losses will be significant at our current level of operations. We have not engaged in foreign currency hedging during the three months ended March 31, 2026; however, we may do so in the future.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Inflation generally impacts us by potentially increasing our operating expenses, including cost of product sales, clinical trial costs and selling activities. We do not believe that inflation has had a material impact on our business or results of operations during the periods for which the condensed consolidated financial statements are presented in this report. Significant adverse changes in inflation could negatively impact our future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maintain a set of disclosure controls and procedures that are designed to ensure that information relating to the Company required to be disclosed in our periodic filings under the Exchange Act is recorded, processed, summarized and reported in a timely manner under the Exchange Act. We carried out an evaluation, under the supervision and with the participation of management, including our Chief Executive Officer and Chief Financial Officer, of the effectiveness of the design and operation of our disclosure controls and procedures. Based upon that evaluation, the Chief Executive Officer and Chief Financial Officer concluded that, as of March 31, 2026, the Company’s disclosure controls and procedures are effective to ensure that information required to be disclosed by the Company in the reports filed or submitted by it under the Exchange Act is recorded, processed, summarized and reported within the time periods specified in the SEC’s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that occurred during the three months ended March 31, 2026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previously disclosed, in January 2025, the Company received a Paragraph IV notice of certification (the “First Notice Letter”) from Annora Pharma Private Limited (“Annora”) regarding U.S. Patent Nos. 10,662,160; 11,117,867; and 11,618,733. In January 2026, the Company received an additional Paragraph IV notice of certification (the “Second Notice Letter” and together with the First Notice Letter, the “Notice Letters”) from Annora regarding U.S. Patent No. 12,344,585. The Notice Letters advise that Annora has submitted an Abbreviated New Drug Application (“ANDA”) to the U.S. Food and Drug Administration (“FDA”) seeking approval to manufacture, use or sell a generic version of ORLADEYO in the United States prior to the expiration of four patents listed in the FDA’s Orange Book: U.S. Patent Nos. 10,662,160; 11,117,867; 11,618,733; and 12,344,585 (the “Challenged Patents”). The Notice Letters allege that the Challenged Patents, which expire in 2039, are invalid, unenforceable and/or will not be infringed by the commercial manufacture, use or sale of the generic product described in Annora’s ANDA. The Notice Letters do not challenge the following six ORLADEYO Orange Book patents that expire in 2035: U.S. Patent Nos. 10,125,102; 10,329,260; 10,689,346; 11,230,530; 11,708,333; and 12,116,346.</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March 10, 2025 (as supplemented by the First Amended Complaint filed in December 2025), the Company ﬁled a patent infringement lawsuit in the United States District Court for the District of Delaware against Annora, Hetero Labs Limited, Hetero USA, Inc., and Camber Pharmaceuticals, Inc. (collectively, the “Defendants”), asserting infringement of the Challenged Patents arising from Annora’s ANDA filing with the FDA. The Company is seeking, among other remedies, equitable relief enjoining the Defendants from infringing the Challenged Patents, as well as an order that the eﬀective date of any FDA approval of the ANDA would be a date no earlier than the expiration of the Challenged Patents (including any regulatory extensions). While the Company intends to vigorously defend its intellectual property rights protecting ORLADEYO, this matter is in the early stages of litigation and no assessment can be made as to the likely outcome of this matter or whether it will be material to the Company. Accordingly, an estimate of the potential loss, or range of loss, if any, to the Company relating to this matter is not possible at this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Item 1A. Risk Factors</w:t>
      </w:r>
      <w:r>
        <w:rPr>
          <w:color w:val="000000"/>
        </w:rPr>
        <w:t xml:space="preserve"> </w:t>
      </w:r>
    </w:p>
    <w:p>
      <w:pPr>
        <w:pStyle w:val="TextBody"/>
        <w:bidi w:val="0"/>
        <w:spacing w:lineRule="auto" w:line="288" w:before="20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An investment in our stock involves risks. You should carefully read this entire report and consider the following uncertainties and risks, which may adversely affect our business, financial condition or results of operations, along with all of the other information included in our other filings with the SEC, before making an investment decision regarding our common stock. Additionally, while some of the factors, events and contingencies described herein may have occurred in the past, the disclosures herein are not representations as to whether or not they have occurred and are instead provided because future occurrences thereof could adversely affect the Company.</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Relating to Our Business</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Financial and Liquidity Risks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not achieve sustained profitability.</w:t>
      </w:r>
    </w:p>
    <w:p>
      <w:pPr>
        <w:pStyle w:val="TextBody"/>
        <w:bidi w:val="0"/>
        <w:spacing w:lineRule="auto" w:line="288" w:before="200" w:after="283"/>
        <w:ind w:left="0" w:right="0" w:firstLine="540"/>
        <w:jc w:val="left"/>
        <w:rPr/>
      </w:pPr>
      <w:r>
        <w:rPr>
          <w:rFonts w:ascii="Times New Roman;serif" w:hAnsi="Times New Roman;serif"/>
          <w:b w:val="false"/>
          <w:color w:val="000000"/>
          <w:sz w:val="20"/>
        </w:rPr>
        <w:t>Although we achieved net income on a U.S. GAAP basis for the year ended December 31, 2025 for the first time on an annual basis, we have not yet achieved sustained profitability. Our expectations as to the sustainability of our profitability may change based upon our ability to execute our commercialization goals and operational initiatives and whether or not the assumptions underlying our projected revenues and expenses are correct. Our beliefs and projections regarding the attainment of our financial goals may differ from actual results based on market factors like competition, patient and physician acceptance of our products, reimbursement levels, or on our ability to execute our operational and budget plans, including management’s ability to properly forecast our capital allocation needs. To achieve sustained profitability, we, or our collaborative partners, must successfully manufacture and develop or acquire products and product candidates, receive regulatory approvals, and successfully commercialize our products and/or enter into profitable commercialization arrangements with other parties. Even if we are able to successfully commercialize our existing products, or to develop or otherwise acquire new commercially viable products, certain obligations we have to third parties, including, without limitation, our obligation to pay RPI and OMERS, as applicable, royalties on certain revenues from ORLADEYO under the Royalty Purchase Agreements (as defined in “</w:t>
      </w:r>
      <w:r>
        <w:rPr>
          <w:rFonts w:ascii="Times New Roman;serif" w:hAnsi="Times New Roman;serif"/>
          <w:b w:val="false"/>
          <w:i/>
          <w:color w:val="000000"/>
          <w:sz w:val="20"/>
        </w:rPr>
        <w:t>Note 7—Royalty Financing Obligations</w:t>
      </w:r>
      <w:r>
        <w:rPr>
          <w:color w:val="000000"/>
        </w:rPr>
        <w:t xml:space="preserve">” </w:t>
      </w:r>
      <w:r>
        <w:rPr>
          <w:rFonts w:ascii="Times New Roman;serif" w:hAnsi="Times New Roman;serif"/>
          <w:b w:val="false"/>
          <w:color w:val="000000"/>
          <w:sz w:val="20"/>
        </w:rPr>
        <w:t>in the Notes to the Condensed Consolidated Financial Statements in Part I, Item 1 of this report), may reduce the profitability of such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Because of the numerous risks and uncertainties associated with developing or acquiring product candidates, launching new products, and their potential for commercialization, we are unable to predict the extent of any potential future losses. Even though we have achieved profitability in a given reporting period, we may not be able to sustain or increase profitability on a quarterly or annual basis. For example, as a result of the accounting treatment for the Merger, we recorded a net loss on a U.S. GAAP basis for the quarter ended March 31, 2026, due to a special, non-cash charge related to the acquired in-process research and development asset for navenibart. If we are unable to achieve sustained profitability on our anticipated timeline, or at all, the market value of our common stock will likely decline.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need to raise additional capital or obtain additional financing in the future. If we are unable to raise capital or obtain additional financing if and when needed, we may need to adjust our operations.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sustained operating losses for the majority of our corporate history. Even if we achieve sustained profitability, in order to continue future operations, progress our drug discovery and development programs, engage in strategic business development activities and commercialize our products and product candidates, we may be required to raise additional capital or obtain additional financing in the future. In addition to seeking strategic partnerships and transactions, we may access the equity or debt markets, incur additional borrowings, or seek other sources of funding to meet liquidity needs at any time, including to take advantage of attractive opportunities in the capital markets. Additional funding, whether through additional sales or issuances of securities, additional borrowings, collaborative arrangements with partners, or from other sources, may not be available if or when needed or in a form or on terms acceptable to us. The issuance of preferred or common stock or convertible securities, with terms and prices significantly more favorable than those of our currently outstanding common stock, could have the effect of diluting or adversely affecting the holdings or rights of our existing stockholders. Additional borrowings may subject us to more restrictive covenants than are currently applicable to us under the Blackstone Loan Agreement. In addition, collaborative arrangements may require us to transfer certain material rights to our corporate partners. Insufficient funds or lack of an acceptable partnership have in the past, and may again in the future, require us to delay, scale-back or eliminate certain of our research and development programs.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our programs advance, our costs could increase. Our expenses, revenues and cash utilization rate could vary significantly depending on many factors, including: our ability to effectively manage our product candidate pipeline; our ability to obtain regulatory approvals for our product candidates; our ability to maintain regulatory approvals for, successfully commercialize, and achieve sustained market acceptance of our products; our future business development activities; our ability to secure partnerships with third parties for our product candidates when deemed advisable; the amount of funding we receive from partnerships with third parties for the development and commercialization of our products and product candidates; the commercial success of our products achieved by our partners; the progress and results of our current and proposed clinical trials for our product candidates; and the progress made in the manufacture of our lead products and the progression of our other programs.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Our liquidity needs will largely be determined by the success of operations in regard to the commercialization of our products, particularly ORLADEYO, the progression of our product candidates, including the progress, timeline and ultimate outcome of our development programs (including, but not limited to, formulation progress, long-term human safety studies, clinical trial investigations, and carcinogenicity, drug-drug interaction, toxicity, or other required studies), as well as any post-approval studies for our products, and our ability to execute our budget plans. Constriction and volatility in the equity and debt markets, including as a result of the impacts of inflation, increased interest rates, disruption or instability in the banking industry, geopolitical instability, or public health emergencies such as the COVID-19 pandemic, may restrict our future flexibility to raise capital if and when such needs arise. Our current plans for managing our liquidity needs primarily include controlling the timing and spending on our research and development programs and commercializing our approved products. See “</w:t>
      </w:r>
      <w:r>
        <w:rPr>
          <w:rFonts w:ascii="Times New Roman;serif" w:hAnsi="Times New Roman;serif"/>
          <w:b w:val="false"/>
          <w:i/>
          <w:color w:val="000000"/>
          <w:sz w:val="20"/>
        </w:rPr>
        <w:t>Management’s Discussion and Analysis of Financial Condition and Results of Operations—Liquidity and Capital Resources</w:t>
      </w:r>
      <w:r>
        <w:rPr>
          <w:color w:val="000000"/>
        </w:rPr>
        <w:t xml:space="preserve">” </w:t>
      </w:r>
      <w:r>
        <w:rPr>
          <w:rFonts w:ascii="Times New Roman;serif" w:hAnsi="Times New Roman;serif"/>
          <w:b w:val="false"/>
          <w:color w:val="000000"/>
          <w:sz w:val="20"/>
        </w:rPr>
        <w:t>in Part I, Item 2 of this report for additional information about our liquidity needs, capital requirements, potential funding alternatives, and adequacy of available funds.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we have exposure to many different industries, financing partners and counterparties, including commercial banks, investment banks and partners (which include investors, licensing partners, distribution partners, and others), which may be unstable or may become unstable in the current economic and political environment, including as a result of the impacts of inflation, increased interest rates, disruption or instability in the banking industry, U.S. Government shutdowns, changes in presidential administration in the United States, geopolitical instability, actual or threatened public health emergencies, outbreaks of disease, epidemics or pandemics (such as the COVID-19 pandemic). Any such instability may impact these parties’ ability to fulfill contractual obligations to us, or it might limit or place burdensome conditions upon future transactions with us. Also, it is possible that suppliers may be negatively impacted as a result of economic and political instability. Any such unfavorable outcomes in our current programs or unfavorable economic conditions have in the past and could again place severe downward pressure on the price of our common stock and may decrease opportunities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to raise capital in the capital or credit markets, and further could reduce the return available on invested corporate cash, which, if severe and sustained, could have a material and adverse impact on our results of operations and cash flows and limit our ability to continue development and commercialization of our products and product candidates.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any of our plans will be successful or that additional capital will be available to us on reasonable terms, or at all, if needed. If we are unable to obtain sufficient additional capital if and when needed, we may be forced to adjust or curtail our operations; delay, reduce, or stop ongoing clinical trials or commercialization efforts; cease operations altogether; or file for bankruptcy.</w:t>
      </w:r>
    </w:p>
    <w:p>
      <w:pPr>
        <w:pStyle w:val="TextBody"/>
        <w:bidi w:val="0"/>
        <w:spacing w:lineRule="auto" w:line="288" w:before="200" w:after="283"/>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Risks Relating to the Merger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the benefits of the Merger do not meet the expectations of investors or securities analysts, the market price of our common stock may decline.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market price of our common stock may decline as a result of the Merger if we do not achieve the perceived benefits of the Merger as rapidly or to the extent anticipated by financial analysts or investors or if the effect of the Merger on our financial results is not consistent with the expectations of financial analysts or investors. Accordingly, holders of our common stock following the consummation of the Merger may experience a loss as a result of a decline in the market price of such common stock. In addition, former Astria stockholders or holders of other Astria securities may decide not to hold the shares of our common stock that they have received in connection with the Merger, and our stockholders may decide to reduce their investment in us as a result of the changes to our investment profile as a result of the Merger, which may result in further fluctuations in the market price of our common stock, including a stock price decrease. Any such decline in the market price of our common stock could adversely affect our ability to issue additional securities if needed and to obtain additional financing in the future.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Combining Astria with our business may be more difficult, costly or time consuming than expected and the combined company may fail to realize the anticipated benefits and synergies of the Merger.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success of the Merger will depend, in part, on the ability to realize the anticipated benefits, and cost savings from combining our business and Astria’s business. To realize the anticipated benefits and synergies from the Merger, we must successfully integrate and combine our businesses in a manner that permits those benefits and synergies to be realized. If we are not able to successfully achieve these objectives, the anticipated benefits of the Merger may not be realized fully or at all or may take longer to realize than expected. In addition, the actual cost savings and anticipated benefits of the Merger could be less than anticipated, and integration may result in additional unforeseen expenses. There can be no assurance that the anticipated benefits related to the integration of Astria with our business will be realized to offset the transaction and integration expenses over time.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 inability to realize the full extent of the anticipated benefits of the Merger, as well as any delays encountered in the integration process, could have an adverse effect on the revenues, levels of expenses and operating results of the combined company, which may adversely affect the value of our common stock.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Prior to completion of the Merger, we and Astria operated independently. It is possible that the integration process could result in the loss of key employees, the disruption of our business or inconsistencies in standards, controls, procedures and policies that adversely affect our ability to maintain relationships with employees and counterparties or to achieve the anticipated benefits and cost savings of the Merger. Integration efforts may also divert management attention during this transition period, which may have an adverse effect on our Company.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are in the early stages of integrating Astria into our business, and unknown or unanticipated risks associated with Astria’s business or product candidates could adversely affect us.</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Although we conducted due diligence on Astria prior to consummation of the Merger, we are still relatively new to Astria’s business and its operations, including its product candidates. As a result, we may not yet be aware of all material risks, liabilities, or challenges associated with Astria’s business or product candidates (in particular, navenibart), including risks that were not identified or fully appreciated during our due diligence process. There can be no assurance that our due diligence identified all risks, liabilities, or other material matters, that all material issues that could be uncovered through a customary level of due diligence were identified, or that factors outside of our control will not later arise. Even where due diligence successfully identifies certain risks, unexpected risks may arise, and previously known risks may materialize in a manner that is inconsistent with our preliminary risk assessments or assumptions.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Product Development and Commercialization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success depends in part upon our ability to manage our product candidate pipeline, advance our product candidates through the various stages of development, especially through the clinical trial process, and to receive regulatory approvals for the commercial sale of our product candidates.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success of our business depends in part upon our ability to manage our product candidate pipeline, including through expanding the pipeline, as appropriate, through our internal identification and discovery of product candidates or otherwise in-licensing or acquiring products or product candidates and integrating them into our business effectively and efficiently; advancing our product candidates through the various stages of development; and receiving regulatory approvals for the commercial sale of our product candidates. Identifying, selecting, and in-licensing or acquiring products or product candidates requires substantial expense and technical and financial expertise, and if we are unable to effectively manage our pipeline or integrate viable products or product candidates into our business on acceptable terms, or at all, our business and product development efforts could suffer.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receive the regulatory approvals necessary for the commercial sale of our product candidates, we or our partners must demonstrate through preclinical studies and clinical trials that each product candidate is safe and effective. The development process and related regulatory process are complex and uncertain. The preclinical and clinical development of our product candidates is susceptible to the risk of failure inherent at any stage of drug or biologic development, including failure to demonstrate efficacy, or for biologics, purity and potency, and safety, failure to demonstrate adequate benefit-risk balance, failure to achieve a commercially attractive and competitive product label, failure to achieve approval in commercially attractive indications, the occurrence of adverse events that are severe or medically or commercially unacceptable, our or our partners’ failure to comply with trial protocols, applicable regulatory requirements, or industry standards, or a determination by the FDA or any comparable foreign regulatory authority that a product candidate may not continue development or be approved in accordance with our development plans or at all. The outcome of preclinical testing and early clinical trials may not be predictive of the success of later clinical trials, and interim results of a clinical trial do not necessarily predict final results. For example, any successful results of preclinical and early clinical work for navenibart, BCX17725, and our early-stage discovery programs do not guarantee the success of later clinical trials. Moreover, preclinical and clinical data are often susceptible to varying interpretations and analyses, and for some product candidates, there may not be an ideal model for preclinical testing. We also cannot guarantee that any preclinical studies and clinical trials will be conducted as planned or completed on schedule, if at all, or that the results of such trials will be sufficient to support regulatory approval for our product candidates.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Progression of our product candidates through the clinical development process is dependent upon our trials indicating that our product candidates have adequate safety and efficacy or purity and potency in the patients being treated by achieving predetermined endpoints according to the clinical trial protocols, as well as an adequate benefit-risk profile. Failure to achieve any of these endpoints or to show adequate benefit-risk profile in any of our programs has in the past, and could again in the future, result in delays in, modifications to, or discontinuations of our trials or require the performance of additional unplanned trials. If any of our product candidates is associated with adverse events or undesirable side effects or has properties that are unexpected, we may need to abandon development or limit development of that product candidate to certain uses or subpopulations in which the undesirable side effects or other characteristics are less prevalent, less severe or more acceptable from a benefit-risk perspective. Product candidates that initially show promise in clinical or preclinical testing have in the past, and could again in the future, later be found to be associated with or to cause undesirable or unexpected side effects that could result in substantial modifications or delays in the development plans for our product candidates, significant unexpected costs, or the termination of programs.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 development plans for our product candidates, including our clinical trials, may not be adequately designed or executed, which could negatively affect the outcome and analysis of study results. Because of the cost and duration of clinical trials, we have decided in the past, and may in the future decide, to discontinue development of product candidates for various reasons, including, but not limited to, that such product candidates are unlikely to show favorable results in clinical trials, unlikely to help advance a product to the point of a meaningful collaboration, or unlikely to have reasonable commercial potential.</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Undesirable or inconclusive data in our preclinical studies and clinical trials or side effects in humans could result in the FDA or foreign regulatory authorities refusing to approve a product candidate for any targeted indications or imposing restrictions or warnings that could impact development or the ultimate commercial viability of a product candidate. In addition, the FDA or foreign regulatory authorities may determine that study data from our product candidates necessitates additional studies or study designs which differ from our planned development strategy, and such regulatory authorities may also require patient monitoring and testing or may implement restrictions or other conditions on our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activities, any of which could materially impact the cost and timing of our planned development strategy. We, our partners, the FDA, or foreign regulatory authorities have previously, and may again in the future, pause enrollment in, suspend, or terminate clinical trials at any time if we or they believe the trial participants face unacceptable health risks.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ability to complete the clinical development process successfully is dependent upon many factors, including, but not limited to:</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or our partners’ ability to secure suitable clinical sites and investigators and to enroll and maintain an adequate number of patients on a timely basis or at all;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patients that enroll in a clinical trial may not comply with the clinical trial protocols or maintain contact with investigators to provide complete data during and after treatment;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product candidates may not prove to be either safe or effective for our targeted indications, or at all, or may produce unfavorable or inconclusive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or our partners may decide, or be required by regulatory authorities, to pause enrollment in, suspend, or terminate clinical research for various reasons, including a finding that the participants are being exposed to unacceptable health risks, undesirable side effects or other unexpected characteristics of the product candidate, noncompliance with regulatory requirements or their standards of conduct or evolving guidance, or findings of undesirable effects caused by a chemically or mechanistically similar product or product candidate;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authorities may disagree with our or our partners’ clinical trial protocols or our or their interpretation of data from preclinical studies and clinical trials;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clinical protocols or study procedures may not be adequately designed or followed by the investigators, including ensuring that all data is accurately recorded and reported;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formulation improvements may not work as expected, which could negatively impact commercial demand for our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authorities may fail to approve or subsequently find fault with the manufacturing processes or facilities of third-party manufacturers with which we or our partners enter into agreements for clinical and commercial supplies;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supply or quantity of raw materials or manufactured product candidates or other materials necessary to conduct development activities may be insufficient, inadequate, or unavailable at an acceptable cost, and we or our partners may experience interruptions in supply;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or our partners’ development plans may be delayed or changed as a result of changes in development strategy, the impact of new or different regulations, requirements, and guidelines, or other unexpected events or conditions;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cost of preclinical studies and clinical trials may be greater than we anticipate;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or our third-party contractors, including those manufacturing our product candidates or components or ingredients thereof, or conducting clinical trials or laboratory testing on our or our partners’ behalf, may fail to comply with regulatory requirements and industry standards or meet contractual obligations in a timely manner or at all;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of any global health epidemic or pandemic, such as COVID-19, on one or more of the foregoing factors.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Clinical trials are lengthy and expensive. Many of the factors listed above could result in increased clinical development costs or longer clinical development times for any of our programs. We and our partners incur substantial expense for, and devote significant time to, preclinical testing and clinical trials, yet we cannot be certain that the tests and trials will ever result in the commercial sale of a product. Even if we or our partners successfully complete clinical trials for our product candidates, we or our partners might not file the required regulatory submissions in a timely manner or may not receive regulatory approval for the product candidates, which in either case would adversely impact or preclude our ability to generate any revenues from product sales or licensing arrangements. In addition, any product candidate, if approved, may be subject to restrictions on labeling, marketing, distribution, prescribing, and use, which could adversely impact the sales of such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our development collaborations with third parties, such as our development partners, contractors and contract research organizations, fail, the development of our product candidates will be delayed or stopped.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rely heavily upon third parties for many important stages of our product candidate development, including, but not limited to:</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discovery of natural proteins that cause or enable biological reactions necessary for the progression of the disease or disorder;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execution of certain pharmacology preclinical studies and late-stage development for our compounds and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management of our phase 1, 2 and 3 clinical trials, including medical monitoring, laboratory testing, and data management;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execution of toxicology studies that may be required to obtain approval for our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formulation improvement strategies and methods;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manufacturing the starting materials and drug substance required to formulate our products and the product candidates to be used in our clinical trials, toxicology studies and any potential commercial product;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provision of cell banks or cell line technologies;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management of certain regulatory interactions outside of the United States.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failure to engage in successful collaborations at any one of these stages would greatly impact our business. If we do not license protein targets or inhibitors from academic institutions or from other biotechnology companies on acceptable terms, or at all, our product development efforts could suffer. Similarly, if the contract research organizations or third-party contractors that conduct our initial or late-stage clinical trials, conduct our toxicology or other studies, manufacture our starting materials, drug substance and product candidates, provide laboratory testing or other services (including clinical operation services) in connection with our clinical trials, provide medical writing services, or assist with our regulatory function breach their obligations to us, perform their services inconsistent with industry standards, or fail to comply with regulatory requirements, this would delay or prevent both the development of our product candidates and the availability of any potential commercial product.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lose our relationship with any one or more of these parties, we could experience a significant delay in both identifying another comparable provider and then contracting for its services. We may be unable to retain an alternative provider on reasonable terms, if at all. Even if we locate an alternative provider, it is likely that this provider may need additional time to respond to our needs and may not provide the same type or level of service as the original provider. In addition, any provider that we retain will be subject to applicable FDA current Good Laboratory Practices, current Good Manufacturing Practices (“cGMP”), and current Good Clinical Practices, and comparable foreign standards. We do not have control over compliance with these regulations by these providers. Consequently, if these practices and standards are not adhered to by these providers, the development and commercialization of our product candidates could be delayed. If any of the foregoing risks is realized, our business, financial condition and results of operations could be materially adversely affected.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or our partners do not obtain regulatory approvals for our product candidates or maintain regulatory approvals for our products, we or our partners will not be able to commercialize and sell these products and potential products, which would significantly harm our business because we will receive no revenue.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or our partners must obtain regulatory approvals before marketing or selling our products. If the FDA or a comparable foreign regulatory authority delays or denies regulatory approval of one of our product candidates, or revokes approval of a previously approved product, we would be unable to market or sell the product in the applicable jurisdiction and would not receive revenue from sales or licensing arrangements related thereto, which could have a material and adverse impact on our business.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The process of preparing for and obtaining regulatory approval in any jurisdiction may be lengthy and expensive, and approval is never certain. Because of the risks and uncertainties inherent to the development process, our product candidates could take a significantly longer time to gain regulatory approval than we expect or may never gain approval. As discussed under “</w:t>
      </w:r>
      <w:r>
        <w:rPr>
          <w:rFonts w:ascii="Times New Roman;serif" w:hAnsi="Times New Roman;serif"/>
          <w:b w:val="false"/>
          <w:i/>
          <w:color w:val="000000"/>
          <w:sz w:val="20"/>
        </w:rPr>
        <w:t>Risk Factors—Risks Relating to Our Business—Risks Relating to Product Development and Commercialization—Our success depends in part upon our ability to manage our product candidate pipeline, advance our product candidates through the various stages of development, especially through the clinical trial process, and to receive regulatory approvals for the commercial sale of our product candidates</w:t>
      </w:r>
      <w:r>
        <w:rPr>
          <w:rFonts w:ascii="Times New Roman;serif" w:hAnsi="Times New Roman;serif"/>
          <w:b w:val="false"/>
          <w:color w:val="000000"/>
          <w:sz w:val="20"/>
        </w:rPr>
        <w:t>,” we and our partners have experienced, and may again in the future</w:t>
      </w:r>
      <w:r>
        <w:rPr>
          <w:color w:val="000000"/>
        </w:rPr>
        <w:t xml:space="preserve"> </w:t>
      </w:r>
      <w:r>
        <w:rPr>
          <w:rFonts w:ascii="Times New Roman;serif" w:hAnsi="Times New Roman;serif"/>
          <w:b w:val="false"/>
          <w:color w:val="000000"/>
          <w:sz w:val="20"/>
        </w:rPr>
        <w:t xml:space="preserve">experience, any number of unfavorable outcomes during or as a result of preclinical studies and clinical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trials that could delay or prevent regulatory approval of our product candidates, or negatively impact our management’s credibility, our value and our operating results.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Even if the FDA or foreign regulatory authorities approve a product candidate, the approval may limit the indicated uses for a product candidate, impose other restrictions on the product candidate, and/or may require post-approval studies that could impair the commercial viability of a product candidate. Even upon any approval to market our potential products, whether in the United States or internationally, we will continue to be subject to extensive regulatory requirements, as discussed under “</w:t>
      </w:r>
      <w:r>
        <w:rPr>
          <w:rFonts w:ascii="Times New Roman;serif" w:hAnsi="Times New Roman;serif"/>
          <w:b w:val="false"/>
          <w:i/>
          <w:color w:val="000000"/>
          <w:sz w:val="20"/>
        </w:rPr>
        <w:t>Risk Factors—Risks Relating to Our Business—Legal and Regulatory Risks—We are subject to various laws and regulations related to our products and product candidates, and if we or our partners do not comply with these laws and regulations, we could face substantial penalties</w:t>
      </w:r>
      <w:r>
        <w:rPr>
          <w:rFonts w:ascii="Times New Roman;serif" w:hAnsi="Times New Roman;serif"/>
          <w:b w:val="false"/>
          <w:color w:val="000000"/>
          <w:sz w:val="20"/>
        </w:rPr>
        <w: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failure to comply with existing or future regulatory requirements for regulatory approval, or our loss of, or changes to, previously obtained approvals, could impair our ability to generate any revenues from product sales or licensing arrangements, which could have a material adverse effect on our business, financial condition, and 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focus primarily on rare diseases, which may create additional risks and challenges, including that the target patient populations of our products and product candidates may be small.</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Because we focus primarily on developing drugs as treatments for rare diseases, we may seek orphan drug, breakthrough therapy or fast track designations for our product candidates in the United States or the equivalent designations elsewhere in the world. Often, regulatory authorities have broad discretion in determining whether or not to grant such designations. We cannot guarantee that our product candidates will receive orphan drug status from the FDA or equivalent designations from other regulatory authorities. Even with an orphan drug designation for our current and potential future product candidates, we may not be the first to obtain marketing approval for any particular orphan indication due to the uncertainties associated with developing pharmaceutical products. Further, even if we obtain orphan drug exclusivity for an existing or future product candidate, that exclusivity may not effectively protect the product from competition.</w:t>
      </w:r>
    </w:p>
    <w:p>
      <w:pPr>
        <w:pStyle w:val="TextBody"/>
        <w:bidi w:val="0"/>
        <w:spacing w:lineRule="auto" w:line="288" w:before="200" w:after="283"/>
        <w:ind w:left="0" w:right="0" w:firstLine="540"/>
        <w:jc w:val="left"/>
        <w:rPr/>
      </w:pPr>
      <w:r>
        <w:rPr>
          <w:rFonts w:ascii="Times New Roman;serif" w:hAnsi="Times New Roman;serif"/>
          <w:b w:val="false"/>
          <w:color w:val="000000"/>
          <w:sz w:val="20"/>
        </w:rPr>
        <w:t>In addition, we do not know if, when, or how the FDA, Congress, or future judicial challenges may change the orphan drug regulations and policies in the future, and it is uncertain how any changes might affect our business. Depending on what changes the FDA may make to its orphan drug regulations and policies, our business could be adversely impacted. See “</w:t>
      </w:r>
      <w:r>
        <w:rPr>
          <w:rFonts w:ascii="Times New Roman;serif" w:hAnsi="Times New Roman;serif"/>
          <w:b w:val="false"/>
          <w:i/>
          <w:color w:val="000000"/>
          <w:sz w:val="20"/>
        </w:rPr>
        <w:t>Business—Government Regulation—FDA Regulation—Orphan Drug</w:t>
      </w:r>
      <w:r>
        <w:rPr>
          <w:rFonts w:ascii="Times New Roman;serif" w:hAnsi="Times New Roman;serif"/>
          <w:b w:val="false"/>
          <w:color w:val="000000"/>
          <w:sz w:val="20"/>
        </w:rPr>
        <w:t>s” in Part 1, Item 1 of our most recent Annual Report on Form 10-K.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cannot guarantee that we will receive breakthrough therapy, fast track, or equivalent designations, which provide certain potential benefits such as more frequent meetings with the applicable regulatory authorities to discuss development plans, intensive guidance on efficient product development programs, and potential eligibility for rolling review or priority review. Even if we are successful in obtaining any such designations for our product candidates, such designations may not lead to faster development or regulatory review or approval and do not increase the likelihood that our product candidates will receive marketing approval. We may not be able to obtain or maintain these designations for our product candidates that receive them, and our competitors may obtain these designations for their product candidates, which could impact our ability to develop and commercialize our products and product candidates or compete with such competitors, which may adversely impact our business, financial condition or results of operations.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Given the small number of patients who have the diseases that we are targeting, it is important to our ability to grow and sustain profitability that we continue to successfully identify patients with these rare diseases. Our projections of both the number of people who have these diseases, as well as the subset of people with these diseases who have the potential to benefit from treatment with our products and product candidates, are based on our beliefs and estimates. These estimates have been derived from a variety of sources, including the scientific literature, surveys of clinics, patient foundations, or market research, and may prove to be incorrect. Further, new studies may change the estimated incidence or prevalence of these diseases. The number of patients may turn out to be lower than expected. Additionally, the potentially addressable patient population for each of our products and product candidates may be limited or may not be amenable to treatment with our products and product candidates, and new patients may become increasingly difficult to identify or access. Further, even if we obtain significant market share for our products and product candidates, because the potential target populations are small, we may not maintain profitability or generate sufficient long-term revenue growth to sustain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the FDA or comparable foreign regulatory authorities approve generic versions of any of our drug products that receive marketing approval, or such authorities do not grant our products appropriate periods of data or market exclusivity before approving generic versions of our products, the sales of our products could be adversely affected.</w:t>
      </w:r>
    </w:p>
    <w:p>
      <w:pPr>
        <w:pStyle w:val="TextBody"/>
        <w:bidi w:val="0"/>
        <w:spacing w:lineRule="auto" w:line="288" w:before="200" w:after="283"/>
        <w:ind w:left="0" w:right="0" w:firstLine="540"/>
        <w:jc w:val="left"/>
        <w:rPr/>
      </w:pPr>
      <w:r>
        <w:rPr>
          <w:rFonts w:ascii="Times New Roman;serif" w:hAnsi="Times New Roman;serif"/>
          <w:b w:val="false"/>
          <w:color w:val="000000"/>
          <w:sz w:val="20"/>
        </w:rPr>
        <w:t>Once an NDA is approved, the drug covered thereby becomes a “reference-listed drug” in the FDA’s publication, “Approved Drug Products with Therapeutic Equivalence Evaluations.” Manufacturers may seek marketing approval of generic versions of reference-listed drugs through submission of abbreviated new drug applications, or ANDAs, in the United States, as described in “</w:t>
      </w:r>
      <w:r>
        <w:rPr>
          <w:rFonts w:ascii="Times New Roman;serif" w:hAnsi="Times New Roman;serif"/>
          <w:b w:val="false"/>
          <w:i/>
          <w:color w:val="000000"/>
          <w:sz w:val="20"/>
        </w:rPr>
        <w:t>Business—Government Regulation—FDA Regulation—Abbreviated New Drug Applications for Generic Drugs</w:t>
      </w:r>
      <w:r>
        <w:rPr>
          <w:color w:val="000000"/>
        </w:rPr>
        <w:t xml:space="preserve">” </w:t>
      </w:r>
      <w:r>
        <w:rPr>
          <w:rFonts w:ascii="Times New Roman;serif" w:hAnsi="Times New Roman;serif"/>
          <w:b w:val="false"/>
          <w:color w:val="000000"/>
          <w:sz w:val="20"/>
        </w:rPr>
        <w:t>in Part I, Item 1 of our most recent Annual Report on Form 10-K. Generic drugs may be significantly less costly to bring to market than the reference-listed drug and companies that produce generic drugs are generally able to offer them at lower prices. Thus, following the introduction of a generic drug, a significant percentage of the sales of any branded product or reference-listed drug is typically lost to the generic drug.</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The FDA may not approve an ANDA for a generic drug until any applicable period of non-patent exclusivity for the reference-listed drug has expired, as described in “</w:t>
      </w:r>
      <w:r>
        <w:rPr>
          <w:rFonts w:ascii="Times New Roman;serif" w:hAnsi="Times New Roman;serif"/>
          <w:b w:val="false"/>
          <w:i/>
          <w:color w:val="000000"/>
          <w:sz w:val="20"/>
        </w:rPr>
        <w:t>Business—Government Regulation—FDA Regulation—Abbreviated New Drug Applications for Generic Drugs</w:t>
      </w:r>
      <w:r>
        <w:rPr>
          <w:color w:val="000000"/>
        </w:rPr>
        <w:t xml:space="preserve">” </w:t>
      </w:r>
      <w:r>
        <w:rPr>
          <w:rFonts w:ascii="Times New Roman;serif" w:hAnsi="Times New Roman;serif"/>
          <w:b w:val="false"/>
          <w:color w:val="000000"/>
          <w:sz w:val="20"/>
        </w:rPr>
        <w:t xml:space="preserve">in Part I, Item 1 of our most recent Annual Report on Form 10-K, but such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Manufacturers may seek to launch generic drugs following the expiration of the marketing exclusivity period, even if we still have patent protection for such drugs.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Competition that our drug products or product candidates may face from generic drugs could materially and adversely impact our future revenue, profitability and cash flows and substantially limit our ability to obtain a return on the investments we have made in those product candidates. Our future revenues, profitability and cash flows could also be materially and adversely affected and our ability to obtain a return on the investments we have made in those product candidates may be substantially limited if our products or, if and when approved, product candidates, are not afforded the appropriate periods of non-patent exclusivity.</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may face competition from biosimilars, which may have a material adverse impact on the future commercial prospects of our biological products and product candidates. </w:t>
      </w:r>
    </w:p>
    <w:p>
      <w:pPr>
        <w:pStyle w:val="TextBody"/>
        <w:bidi w:val="0"/>
        <w:spacing w:before="0" w:after="0"/>
        <w:ind w:left="0" w:right="0" w:firstLine="54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Even if we are successful in achieving regulatory approval to commercialize a biological product candidate faster than our competitors, we may face competition from biosimilars with respect to our biological product candidates. In the United States, the BPCIA was included in the ACA and created an abbreviated approval pathway for biological products that are demonstrated to be “highly similar,” or biosimilar, to or “interchangeable” with an FDA-approved biological product. The BPCIA prohibits the FDA from approving a biosimilar or interchangeable product that references a brand biological product until 12 years after the licensure of the reference product, but permits submission of an application for a biosimilar or interchangeable product to the FDA four years after the reference product was first licensed. The BPCIA does not prevent another company from developing a product that is highly similar to the innovative product, generating its own data, and seeking approval. The law is complex and continues to evolve through ongoing FDA implementation and judicial interpretation. As a result, its ultimate impact, implementation and meaning are subject to uncertainty. Modification of the BPCIA, or changes to the interpretation or implementation of the BPCIA, could have a material adverse effect on the future commercial prospects for our biological products and product candidates. </w:t>
      </w:r>
    </w:p>
    <w:p>
      <w:pPr>
        <w:pStyle w:val="TextBody"/>
        <w:bidi w:val="0"/>
        <w:spacing w:before="0" w:after="0"/>
        <w:ind w:left="0" w:right="0" w:firstLine="72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competitors are able to obtain marketing approval for biosimilars referencing our biological products, our biological products may become subject to competition from such biosimilars, with the attendant competitive pressure and consequences which could adversely affect our business and financial results.</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The commercial viability of any approved product could be compromised if the product is less effective than expected, causes undesirable side effects that either were not previously identified or were worse than expected, or fails to achieve market acceptance within the medical community.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after obtaining regulatory approval of a product, we or others discover that the product is less effective than previously believed or causes undesirable side effects that either were not previously identified or were worse than expected, any of the following adverse events could occur: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regulatory authorities may withdraw their approval of, or impose marketing or manufacturing restrictions on, the product, or require us or our partners to create a medication guide outlining the risks of unidentified side effects for distribution to patients;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or our partners may be required to recall the product, change the way the product is administered, conduct additional clinical trials, or be subject to civil or criminal penalties;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product may become less competitive and our reputation may suffer.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Even after receiving regulatory approval, any product could fail to gain sufficient, or any, market acceptance by physicians, patients, third-party payors, health authorities and others in the medical community.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If an approved product does not achieve an adequate level of market acceptance, it may not generate significant revenues. The occurrence of any of the foregoing could have a material and adverse impact on our business.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fail to successfully commercialize or establish collaborative relationships to commercialize or develop certain of our products and product candidates, or if any partner terminates or fails to perform its obligations under agreements with us, potential revenues from commercialization of our products and product candidates could be reduced, delayed or eliminated.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business strategy includes successfully commercializing our product and product candidate portfolio. We believe this is best achieved by retaining full product rights or through collaborative arrangements with third parties as appropriate. As needed, potential third-party relationships could relate to preclinical development, clinical development, regulatory approval, marketing, sales, and distribution of our products and product candidates.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Currently, we have established collaborative relationships including with, among others, third-party distributors for ORLADEYO in certain markets, with Torii for ORLADEYO in Japan, with Neopharmed for the commercialization of ORLADEYO and navenibart in Europe, and with each of Shionogi and Green Cross for the development and commercialization of peramivir. In addition, in August 2025, Astria announced that it exclusively licensed development and commercialization rights in Japan to Kaken for navenibart. The process of establishing and implementing collaborative relationships is difficult, time-consuming and involves significant uncertainty, including: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or our partners may seek to renegotiate or terminate our relationships due to unsatisfactory commercial, regulatory or clinical results, including post-approval clinical commitments, a change in business strategy, a change of control or other reasons;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contracts for collaborative arrangements may expire;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possibility that expiration or termination of collaborative relationships, such as those with certain of our distribution partners, may trigger repurchase obligations of the Company for unsold product held by our partners;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partners may choose to pursue alternative technologies, including those of our competitors;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have had in the past, and in the future may have, disputes with a partner that could lead to litigation or arbitration, which could result in substantial costs and divert the attention of our management;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do not have day-to-day control over the activities of our partners and have limited control over their decisions;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generate future event payments and royalties from our partners depends upon their abilities to establish the safety and efficacy of our product candidates, obtain regulatory approvals and achieve market acceptance of products developed from our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or our partners may fail to properly initiate, maintain or defend our intellectual property rights, where applicable, or a party may utilize our proprietary information in such a way as to invite litigation that could jeopardize or potentially invalidate our proprietary information or expose us to potential liability;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we or our partners may not devote sufficient capital or resources toward our products and product candidates;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partners may declare bankruptcy or face other financial distress that could put our partnership or collaborative arrangements at risk;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or our partners may not comply with applicable government regulatory requirements.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If we or our partners fail to fulfill our responsibilities in a timely manner, or at all, our development and commercialization efforts related to that collaboration could be reduced, delayed or terminated, or it may be necessary for us to assume responsibility for activities that would otherwise have been the responsibility of our partner. If we are unable to establish and maintain collaborative relationships on acceptable terms, when or where needed, we may have to delay or discontinue further development or commercialization of one or more of our products or product candidates, undertake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commercialization activities at our own expense or find alternative sources of funding. Any delay in the development or commercialization of our products and product candidates would severely affect our business, because if our product candidates do not progress through the development process or reach the market in a timely manner, or at all, or if our products do not achieve market success, we may not receive any revenues from product sales or licensing arrangements.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 results of our partnership with Torii may not meet our current expectations.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have a partnership agreement with Torii for ORLADEYO in Japan. Under our agreement with Torii,</w:t>
      </w:r>
      <w:r>
        <w:rPr>
          <w:color w:val="000000"/>
          <w:shd w:fill="FFFFFF" w:val="clear"/>
        </w:rPr>
        <w:t xml:space="preserve"> </w:t>
      </w:r>
      <w:r>
        <w:rPr>
          <w:rFonts w:ascii="Times New Roman;serif" w:hAnsi="Times New Roman;serif"/>
          <w:b w:val="false"/>
          <w:color w:val="000000"/>
          <w:sz w:val="20"/>
          <w:shd w:fill="FFFFFF" w:val="clear"/>
        </w:rPr>
        <w:t>we are responsible for all field promotional activities with respect to ORLADEYO in Japan, which we conduct through our Japanese subsidiary, BioCryst Japan K.K. Furthermore, we remain responsible for regulatory activities with respect to ORLADEYO in Japan, and we use third parties to satisfy those regulatory responsibilities and certain other obligations in Japan. If any party fails to meet its obligations, the commercial success of ORLADEYO in Japan and the economic benefit expected could be negatively impacted.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There can be no assurance that our or our partners’ commercialization efforts, methods, and strategies for our products or technologies will succeed, and our future revenue generation is uncertain.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our or our partners’ commercialization efforts, methods and strategies will succeed or maintain success. We may be unable to establish or sufficiently increase our sales, marketing and distribution capabilities for products we currently, or plan to, commercialize. Our ability to receive revenue from products we or our partners commercialize is subject to several risks, including: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or our partners may fail to complete clinical trials successfully, or satisfy post-marketing commitments, sufficient to obtain and maintain regulatory agency marketing approval;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many competitors are more experienced and have significantly more resources, and their products could reach the market faster, be more cost effective or have a better efficacy or tolerability profile than our products and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fail to employ a comprehensive and effective intellectual property strategy, which could result in decreased commercial value of our Company, our products and product candidates, or royalties associated with such products (e.g., the loss of the peramivir patent in Korea, which may result in a reduced royalty from Green Cross);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fail to employ a comprehensive and effective regulatory strategy, which could result in a delay or failure in commercialization of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and our partners’ ability to successfully commercialize our products is affected by the competitive landscape;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revenue from product sales depends on our ability to obtain and maintain favorable pricing;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reimbursement is constantly changing, which could greatly affect usage of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future revenue from product sales will depend on our ability to successfully complete clinical studies, obtain regulatory approvals, and manufacture, market, distribute and commercialize our future approved products;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delays in regulatory approvals, product launches, initial shipments, or ongoing supply arising from manufacturing, formulation, or supply chain issues could impede our ability to meet commercial expectations; and</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the impact of public health emergencies or the outbreak of disease, such as the COVID-19 pandemic, on us or our partners.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In addition, future revenue from sales of ORLADEYO is subject to uncertainties and will depend on several factors, including, but not limited to, the success of our and our partners’ commercialization efforts in the United States and elsewhere, the number of new patients switching to ORLADEYO, patient retention and demand, the number of physicians prescribing ORLADEYO, the rate of monthly prescriptions, reimbursement from third-party and government payors, the number of patients receiving free product, our pricing strategy, and market trends</w:t>
      </w:r>
      <w:r>
        <w:rPr>
          <w:rFonts w:ascii="Times New Roman;serif" w:hAnsi="Times New Roman;serif"/>
          <w:b w:val="false"/>
          <w:color w:val="000000"/>
          <w:sz w:val="20"/>
          <w:shd w:fill="FFFFFF" w:val="clear"/>
        </w:rPr>
        <w:t xml:space="preserve">. Additionally, manufacturing </w:t>
      </w:r>
      <w:r>
        <w:rPr>
          <w:rFonts w:ascii="Times New Roman;serif" w:hAnsi="Times New Roman;serif"/>
          <w:b w:val="false"/>
          <w:color w:val="000000"/>
          <w:sz w:val="20"/>
        </w:rPr>
        <w:t>issues relating to our products could result in delays, interruptions or recalls in commercial supply, which could adversely affect our revenue and results of operations. For example, we recently identified a manufacturing issue affecting our oral pellet formulation of ORLADEYO that will delay initial product fulfillment and could negatively impact our future revenue and financial results.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Even if we are able to successfully commercialize our existing products, or to develop new commercially viable products, certain obligations we have to third parties, including, without limitation, our obligations to pay royalties on certain revenues from ORLADEYO under the Royalty Purchase Agreements, may reduce the profitability of such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have expanded our development and regulatory capabilities and implemented sales, marketing and distribution capabilities, and as a result, we may encounter difficulties in managing our growth, which could disrupt our operations.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experienced significant growth in the number of our employees and the scope of our operations. To manage our growth, we must continue to implement and improve our managerial, operational and financial systems and processes, and continue to recruit and train qualified personnel as needed. Due to our limited financial resources and the limited experience of our management team in managing a company with such growth, we may not be able to effectively manage such expansion of our operations, implement appropriate systems and processes in a timely manner or at all, or recruit, train, and retain qualified personnel. The expansion of our operations may lead to significant costs and may divert our management and business development resources. In addition, if a commercial launch for any product or product candidate for which we recruit a commercial team and establish marketing capabilities in any region is delayed or does not occur for any reason, we would have prematurely or unnecessarily incurred these commercialization expenses. Any inability to manage growth could delay the execution of our business plans or disrupt our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depend on third-party vendors in the manufacture and distribution of our products, product candidates and the materials for our products and product candidates. If we cannot rely on existing third-party vendors, we will be required to incur significant costs and potential delays in finding new third-party vendors, which could adversely impact the development and commercialization timeframes for our products and product candidates.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depend on third-party vendors, including third-party manufacturers, distributors, and specialty pharmacies, in the manufacture and distribution of our products, product candidates, and the materials for our products and product candidates. Often, especially in the early development and commercialization process, we have only one or limited sources for a particular product or service, such as manufacturing and/or distribution. We depend on these third-party vendors to perform their obligations in a timely manner and in accordance with applicable governmental regulations. Our third-party vendors, particularly our third-party manufacturers, distributors, and specialty pharmacies, each of which may be the only vendor we have engaged for a particular product, product candidate, or service or in a particular region, may encounter difficulties with meeting our requirements, including, but not limited to, problems involving, as applicable: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insufficient resources being devoted in the manner necessary to satisfy our requirements within expected timeframes;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inconsistent production yields;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product liability claims or recalls of commercial product;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difficulties in scaling production to commercial and validation sizes;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interruption of the delivery of materials required for the manufacturing process;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distribute commercial supplies of our products to commercial vendors or end users in a timely manner;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scheduling of plant time with other vendors or unexpected equipment failure;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catastrophes that could strike their facilities or have an effect on infrastructure;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impurities in our drug substance or products that could affect availability of product for our clinical trials or future commercialization;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poor quality control and assurance or inadequate process controls;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provide us with accurate or timely information regarding inventory, the number of patients who are using our products, or serious adverse events and/or product complaints regarding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inability of third parties to satisfy their financial obligations to us or to others;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breach of the manufacturing or distribution agreement by the third party;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possible termination or non-renewal of an agreement by the third party at a time that is costly or inconvenient to us;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lack of compliance or cooperation with regulations and specifications or requests set forth by the FDA or other foreign regulatory agencies or local customs.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process of manufacturing pharmaceutical products, devices and, in particular, biologics, is complex, highly regulated, and subject to multiple risks. Manufacturing biologics is highly susceptible to product loss due to contamination, equipment failure, improper installation or operation of equipment, vendor or operator error, inconsistency in yields, variability in product characteristics, difficulties in scaling the production process and use of excipients which may, among other things, impact shelf life and present concerns with process controls. Even minor deviations from normal manufacturing processes could result in reduced production yields, product defects, other supply disruptions and higher costs. If microbial, viral or other contaminations are discovered at the facilities of our third-party contract manufacturers, such facilities may need to be closed for an extended period of time to investigate and remedy the contamination, which could delay clinical trials, result in higher costs of drug product and adversely affect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Many additional factors could cause production or distribution interruptions with the manufacture and distribution of any of our products and product candidates, including human error, natural disasters, pandemics, labor disputes or shortages, acts of terrorism or war, equipment malfunctions, raw material shortages or supply chain issues. If our commercial distribution partners are not able to satisfy our requirements within the expected timeframe, or are unable to provide us with accurate or timely information and data, including with respect to inventory and sales, serious adverse events, and/or product complaints, our business, including our commercialization efforts for and sales of ORLADEYO, may be at risk. In addition, if specialty pharmacy services, including our third-party call center services, which provide patient support and financial services, prescription intake and distribution, reimbursement adjudication, and ongoing compliance support, are not effectively operated or managed, the continuance of our commercialization efforts for and sales of ORLADEYO may be delayed or compromised.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contract manufacturers may not be able to manufacture the materials required for our products or product candidates at a cost or in quantities necessary to make them commercially viable. Our raw materials, drug substances, products, and product candidates are manufactured by a limited group of suppliers, including some at a single facility. If any of these suppliers were unable to produce these items, this could significantly impact our supply of products and product candidate material for further preclinical testing and clinical trials. Additionally, if we are unable to timely establish an alternate supply from one or more third-party contract manufacturers, we could experience delays in our development efforts as we seek to locate and qualify new or additional manufacturers. For particular products, product candidates, services or particular regions where we rely on a single vendor, these and other related risks are exacerbated for us.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third-party manufacturers also may not meet our manufacturing requirements. Furthermore, changes in the manufacturing process or procedures, including a change in the location where the drug is manufactured or a change of a third-party manufacturer, may require prior review and approval in accordance with the FDA’s cGMP and comparable foreign requirements. This review may be costly and time-consuming and could delay or prevent the launch of a product. The FDA or foreign regulatory authorities may at any time implement new standards, or change their interpretation and enforcement of existing standards, for manufacture, packaging or testing of products. If we or our contract manufacturers are unable to comply, we or they may be subject to regulatory action, civil actions or penalties, any of which could be costly to us and could result in a delay or shortage of product.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currently contract with a foreign contract manufacturing organization (“CMO”) in China for the manufacturing of one of our product candidates. Foreign CMOs may be subject to U.S. legislation, including the BIOSECURE Act, sanctions, trade restrictions and other foreign regulatory requirements, which could increase the cost or reduce the supply of material available to us or delay the procurement or supply of such material.</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may from time to time reassess our existing third</w:t>
        <w:noBreakHyphen/>
        <w:t>party vendor arrangements and determine that changes to one or more vendors are necessary, which could result in delays to development or commercialization. In addition, if we are unable to maintain current third-party relationships, or enter into new agreements with additional third parties on commercially reasonable terms, or at all, or if there is poor manufacturing or distribution performance or failure to comply with any regulatory agency on the part of any of our third-party vendors, we may not be able to complete development of, obtain timely approval of, or commercialize our products and product candidates.</w:t>
      </w:r>
      <w:r>
        <w:rPr>
          <w:color w:val="000000"/>
        </w:rPr>
        <w:t xml:space="preserve"> </w:t>
      </w:r>
      <w:r>
        <w:rPr>
          <w:rFonts w:ascii="Times New Roman;serif" w:hAnsi="Times New Roman;serif"/>
          <w:b w:val="false"/>
          <w:color w:val="000000"/>
          <w:sz w:val="20"/>
        </w:rPr>
        <w:t>If we cannot rely on existing third-party vendors, including our third-party manufacturers, distributors, clinical research organizations (“CROs”), or specialty pharmacies, we will be required to incur significant costs and potential delays in finding new third-party vendors, which could adversely impact the development and commercialization timeframes for our products and product candidates and could negatively affect our business, financial results, and revenue.</w:t>
      </w:r>
    </w:p>
    <w:p>
      <w:pPr>
        <w:pStyle w:val="TextBody"/>
        <w:bidi w:val="0"/>
        <w:spacing w:lineRule="auto" w:line="288" w:before="200" w:after="283"/>
        <w:jc w:val="left"/>
        <w:rPr/>
      </w:pPr>
      <w:r>
        <w:rPr>
          <w:rFonts w:ascii="Times New Roman;serif" w:hAnsi="Times New Roman;serif"/>
          <w:b/>
          <w:i/>
          <w:color w:val="000000"/>
          <w:sz w:val="20"/>
        </w:rPr>
        <w:t>Commercialization of our products by us and our partners is subject to the potential commercialization risks described herein and numerous additional risks.</w:t>
      </w:r>
      <w:r>
        <w:rPr>
          <w:color w:val="000000"/>
        </w:rPr>
        <w:t xml:space="preserve"> </w:t>
      </w:r>
      <w:r>
        <w:rPr>
          <w:rFonts w:ascii="Times New Roman;serif" w:hAnsi="Times New Roman;serif"/>
          <w:b/>
          <w:i/>
          <w:color w:val="000000"/>
          <w:sz w:val="20"/>
        </w:rPr>
        <w:t>Any potential revenue benefits to us, including in the form of milestone payments, royalties or other consideration, are highly speculative.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Commercial success of our products is uncertain and is subject to all the risks and uncertainties disclosed in our other risk factors relating to product development and commercialization. In addition, commercialization of our products is subject to further risks and may be negatively impacted by a number of factors, including, but not limited to, the following: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products may not prove to be adequately safe and effective for market approval in markets other than the markets in which they are currently approved;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necessary funding for post-marketing commitments and further development of our products may not be available timely, at all, or in sufficient amounts;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advances in competing products could substantially replace potential demand for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government and third-party payors may not provide sufficient coverage or reimbursement, which would negatively impact the demand for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not be able to supply commercial material, including supplying sufficient product to meet commercial demand, and our partners may not be able to maintain or establish sufficient and acceptable commercial manufacturing, either directly or through third-party manufacturers;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commercial demand for and acceptance of our products by healthcare providers and by patients may not be sufficient to result in substantial product revenues to us or to our partners and may result in little to no revenue, milestone payments, or royalties to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effectiveness of marketing and commercialization efforts for our products by us or our partners;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market satisfaction with existing alternative therapies;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perceived efficacy relative to other available therapies;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disease prevalence;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cost of treatment;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pricing and reimbursement strategy may not be effective;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new legislative or regulatory proposals may influence our pricing and reimbursement strategy, which could impact product revenues;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pricing and availability of imports or alternative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marketing and sales activities of competitors;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shifts in the medical community to new treatment paradigms or standards of care;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relative convenience and ease of administration.</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Competing in Our Industry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face intense competition, and if we are unable to compete effectively, the demand for our products may be reduced.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biotechnology and pharmaceutical industries are highly competitive and subject to rapid and substantial technological change. There are many companies seeking to develop products for the same indications that we currently target. Our competitors in the United States and elsewhere are numerous and include, among others, major multinational pharmaceutical and chemical companies and specialized biotechnology firms. Most of these competitors have greater resources than we do, including greater financial resources, larger research and development staffs and more experienced manufacturing, marketing, and sales organizations. In addition, most of our competitors have greater experience than we do in conducting clinical trials and obtaining FDA and other regulatory approvals. Accordingly, our competitors may succeed in obtaining FDA or other regulatory approvals of product candidates more rapidly than we do for products that compete with our products. Companies that complete clinical trials, obtain required regulatory approvals, and commence commercial sale of their drugs before we do may achieve a significant competitive advantage, including patent and FDA exclusivity rights that would delay our ability to market products. We face, and will continue to face, competition in the commercialization of our products, licensing of potential product candidates for desirable disease targets, and development and marketing of our product candidates from academic institutions, government agencies, research institutions and biotechnology and pharmaceutical companies. Competition may also arise from, among other things: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other product development technologies;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methods of preventing or reducing the incidence of disease, including vaccines;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new small molecule or other classes of therapeutic agents.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Developments by others may render our products, product candidates, or technologies obsolete or noncompetitive.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received FDA approval of ORLADEYO, an oral, once-daily therapy for the prevention of HAE attacks in adults and pediatric patients aged 12 years and older, in December 2020, and subsequently received regulatory approvals for ORLADEYO in other global markets. In December 2025, the FDA approved the use of an oral pellet formulation of once-daily ORLADEYO for prophylactic therapy in pediatric patients with HAE aged 2 to &lt;12 years. We are also performing research on or developing products for the treatment of several other rare diseases, and we expect to encounter significant competition for our pharmaceutical products and product candidates. Companies that complete clinical trials, obtain required funding or government support, obtain required regulatory approvals and commence commercial sales or stockpiling orders of their products before their competitors may achieve a significant competitive advantage. Various government entities throughout the world may also offer incentives, grants and contracts to encourage additional investment into certain preventative and therapeutic agents, which may have the effect of further increasing the number of our competitors and/or providing advantages to certain competitors. In addition, the approval of a generic drug or biosimilar of one of our products or a product with which we compete could have a material impact on our business because it may be significantly less costly to bring to market and may be priced significantly lower than our products 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pPr>
      <w:r>
        <w:rPr>
          <w:rFonts w:ascii="Times New Roman;serif" w:hAnsi="Times New Roman;serif"/>
          <w:b w:val="false"/>
          <w:color w:val="000000"/>
          <w:sz w:val="20"/>
        </w:rPr>
        <w:t>other products with which we compete. See “</w:t>
      </w:r>
      <w:r>
        <w:rPr>
          <w:rFonts w:ascii="Times New Roman;serif" w:hAnsi="Times New Roman;serif"/>
          <w:b w:val="false"/>
          <w:i/>
          <w:color w:val="000000"/>
          <w:sz w:val="20"/>
        </w:rPr>
        <w:t>Business—Competition</w:t>
      </w:r>
      <w:r>
        <w:rPr>
          <w:color w:val="000000"/>
        </w:rPr>
        <w:t xml:space="preserve">” </w:t>
      </w:r>
      <w:r>
        <w:rPr>
          <w:rFonts w:ascii="Times New Roman;serif" w:hAnsi="Times New Roman;serif"/>
          <w:b w:val="false"/>
          <w:color w:val="000000"/>
          <w:sz w:val="20"/>
        </w:rPr>
        <w:t>in Part I, Item 1 of our most recent Annual Report on Form 10-K for further discussion of our competitors, competitive products or programs, and the competitive conditions in these and other therapeutic areas.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one or more of our competitors’ products or programs, including potential competitors not currently identified, are successful, the market for our products may be reduced or eliminated.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Compared to us, many of our competitors and potential competitors have substantially greater: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capital resources;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research and development resources, including personnel and technology;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experience;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preclinical study and clinical testing experience;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manufacturing, marketing, and sales experience;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production facilities.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of these competitive factors could impede our funding efforts, render our products, product candidates, or technologies noncompetitive or eliminate or reduce demand for our products and product candidates.</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Legal and Regulatory Risks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are subject to various laws and regulations related to our products and product candidates, and if we or our partners do not comply with these laws and regulations, we could face substantial penalties.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and our partners’ activities related to approved products or, following their regulatory approval (if applicable), any of our product candidates under development, are subject to regulatory and law enforcement authorities in the United States (including the FDA, the Federal Trade Commission, the Department of Justice (“DOJ”), the HHS, Office of Inspector General, and state and local governments) and their foreign equivalents.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responsible for reporting adverse drug or biological product experiences, have responsibility for certain post-approval studies, and may have responsibilities and costs related to a recall or withdrawal of our products from sale in the jurisdictions in which they are approved. We may also incur liability associated with product manufacturing contracted by us or in support of any of our partners. We are required to maintain records and provide data and reports to regulatory agencies related to our products (e.g., risk evaluation and mitigation strategies, track and trace requirements, and adverse events), and we may incur certain promotional regulatory and government pricing risks, all of which could have a material adverse impact on our operations and financial condition. Similar responsibilities would apply upon regulatory approval of any of our other product candidates currently under development.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we are subject to the federal Physician Payment Sunshine Act and certain similar physician payment and drug pricing transparency legislation in various states. We are also subject to various federal and state laws pertaining to healthcare “fraud and abuse,” including both federal and state anti-kickback and false claims laws. Outside of the United States, we may be subject to analogous foreign laws and regulations in the various jurisdictions in which we operate. These laws and regulations apply to our and our partners’ operations, sales and marketing practices, price reporting, and relationships with physicians and other customers and third-party payors. Although we seek to comply with these statutes, it is possible that our practices, or those of our partners, might be challenged under healthcare fraud and abuse, anti-kickback, false claims or similar laws. Violations of the federal Physician Payment Sunshine Act and similar legislation or the fraud and abuse laws may be punishable by civil or criminal sanctions, including fines and civil monetary penalties, and future exclusion from participation in government healthcare programs.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principal investigators for our clinical trials may serve as scientific advisors or consultants to us from time to time and receive compensation in connection with such services. Under certain circumstances, we may be required to report some of these relationships to certain regulatory authorities, including the FDA and comparable foreign regulatory authorities. Consequently, the FDA or other regulatory authority may conclude that a financial relationship between us and a principal investigator creates a conflict of interest or otherwise affects interpretation of the study. In the event of a conflict of interest with respect to a study, the integrity of the data generated at the applicable clinical trial site may be questioned or the utility of the clinical trial itself may be jeopardized. This could result in a delay in approval, or rejection, of our marketing applications by the FDA or other regulatory authority, as the case may be, and may ultimately lead to the denial of marketing approval of one or more of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FDA and foreign regulatory authorities may also impose post-approval commitments on us for approved products, which we may not complete successfully or on time for any number of reasons, including, but not limited to, lack of funds to complete the studies and insufficient interest by appropriate sites, investigators or study subjects. We are currently subject to certain post-approval commitments and evolving FDA guidance. If we fail to comply with any post-approval legal and regulatory requirements, we could be subject to penalties, and our products could be subject to continual recordkeeping and reporting requirements, review and periodic inspections by the FDA and other regulatory bodies. Regulatory approval of a product may be subject to limitations on the indicated uses for which the product may be marketed or to other restrictive conditions of approval that limit our ability to promote, sell or distribute a product. Furthermore, the approval of our products and any other future product candidates may be subject to requirements for costly post-approval testing and surveillance to monitor their safety or efficacy or certain post-approval labeling, packaging and storage requirements.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Advertising and promotion are subject to stringent oversight from the FDA and foreign regulators, and as a holder of an approved marketing application, we may be held responsible for any advertising and promotion that is not in compliance with applicable rules and regulations. Applicable regulatory authorities, competitors, and other third parties may take the position that we are not in compliance with such regulations. In addition to medical education efforts, we may offer patient support services to assist patients receiving treatment with our commercially approved products, and these support services have increasingly become the focus of government investigation.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Adverse event information concerning approved products must be reviewed, and as a holder of an approved marketing application, we are required to make expedited and periodic adverse event reports to the FDA and other regulatory authorities. In addition, the research, manufacturing, distribution, sale and promotion of products are potentially subject to regulation by various federal, state and local authorities in addition to the FDA, including the Centers for Medicare and Medicaid Services (“CMS”), other divisions of HHS, the DOJ and individual U.S. Attorney offices within the DOJ, state and local governments, and foreign equivalents of the foregoing. All of these activities are also potentially subject to healthcare false claims and fraud and abuse laws, as well as consumer protection and unfair competition laws.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If our operations with respect to our products that are subject to healthcare laws and regulations are found to be in violation of any of the healthcare fraud and abuse laws described above or in “</w:t>
      </w:r>
      <w:r>
        <w:rPr>
          <w:rFonts w:ascii="Times New Roman;serif" w:hAnsi="Times New Roman;serif"/>
          <w:b w:val="false"/>
          <w:i/>
          <w:color w:val="000000"/>
          <w:sz w:val="20"/>
        </w:rPr>
        <w:t>Business—Government Regulation</w:t>
      </w:r>
      <w:r>
        <w:rPr>
          <w:color w:val="000000"/>
        </w:rPr>
        <w:t xml:space="preserve">” </w:t>
      </w:r>
      <w:r>
        <w:rPr>
          <w:rFonts w:ascii="Times New Roman;serif" w:hAnsi="Times New Roman;serif"/>
          <w:b w:val="false"/>
          <w:color w:val="000000"/>
          <w:sz w:val="20"/>
        </w:rPr>
        <w:t>in Part I, Item 1 of our most recent Annual Report on Form 10-K or any other governmental regulations that apply to us, we may be subject to liability and penalties, including civil and criminal penalties, damages, fines, debarment or exclusion from participating in government-funded healthcare programs such as Medicare or Medicaid, and the curtailment or restructuring of our operations. Any penalties, damages, fines, debarment, exclusion, curtailment or restructuring of our operations could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all applicable fraud and abuse laws may be costly.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cannot predict the likelihood, nature or extent of government regulation or other measures that may arise from future legislation or administrative or executive action, either in the United States or abroad.</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The policies of the FDA and other regulatory authorities may change, including as a result of changes in presidential administration of the United States, and additional government regulations or executive orders may be enacted that could prevent, limit or delay regulatory approval of our product candidates, change our continuing compliance obligations, impact our product pricing and/or revenues, affect our supply chain or otherwise adversely affect our business. If we are slow or unable to adapt to changes in existing requirements or the adoption of new requirements or policies, or if we are not able to maintain regulatory compliance, we may lose any marketing approval that we may have obtained, we may not be able to obtain new marketing approvals, and we may not achieve sustained profitability. In addition, significant tariffs, trade measures or other restrictions imposed and related countermeasures taken by impacted foreign countries could adversely affect our operations and financial results.</w:t>
      </w:r>
      <w:r>
        <w:rPr>
          <w:color w:val="212529"/>
          <w:shd w:fill="FFFFFF" w:val="clear"/>
        </w:rPr>
        <w:t xml:space="preserve"> </w:t>
      </w:r>
      <w:r>
        <w:rPr>
          <w:rFonts w:ascii="Times New Roman;serif" w:hAnsi="Times New Roman;serif"/>
          <w:b w:val="false"/>
          <w:color w:val="000000"/>
          <w:sz w:val="20"/>
        </w:rPr>
        <w:t>We cannot predict the likelihood, nature or extent of government regulation or other measures that may arise from future legislation or administrative or executive action, either in the United States or abroad.</w:t>
      </w:r>
    </w:p>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In June 2024, the Supreme Court overruled the </w:t>
      </w:r>
      <w:r>
        <w:rPr>
          <w:rFonts w:ascii="Times New Roman;serif" w:hAnsi="Times New Roman;serif"/>
          <w:b w:val="false"/>
          <w:i/>
          <w:color w:val="000000"/>
          <w:sz w:val="20"/>
        </w:rPr>
        <w:t>Chevron</w:t>
      </w:r>
      <w:r>
        <w:rPr>
          <w:color w:val="000000"/>
        </w:rPr>
        <w:t xml:space="preserve"> </w:t>
      </w:r>
      <w:r>
        <w:rPr>
          <w:rFonts w:ascii="Times New Roman;serif" w:hAnsi="Times New Roman;serif"/>
          <w:b w:val="false"/>
          <w:color w:val="000000"/>
          <w:sz w:val="20"/>
        </w:rPr>
        <w:t xml:space="preserve">doctrine, which had given deference to regulatory agencies’ statutory interpretations of ambiguous regulations in litigation against federal government agencies, such as the FDA. The overruling of the </w:t>
      </w:r>
      <w:r>
        <w:rPr>
          <w:rFonts w:ascii="Times New Roman;serif" w:hAnsi="Times New Roman;serif"/>
          <w:b w:val="false"/>
          <w:i/>
          <w:color w:val="000000"/>
          <w:sz w:val="20"/>
        </w:rPr>
        <w:t xml:space="preserve">Chevron </w:t>
      </w:r>
      <w:r>
        <w:rPr>
          <w:rFonts w:ascii="Times New Roman;serif" w:hAnsi="Times New Roman;serif"/>
          <w:b w:val="false"/>
          <w:color w:val="000000"/>
          <w:sz w:val="20"/>
        </w:rPr>
        <w:t xml:space="preserve">doctrine may significantly increase the number of challenges brought by companies and other stakeholders against federal agencies such as the FDA and its longstanding decisions and policies, including the FDA’s statutory interpretations of market exclusivities and the “substantial evidence” requirements for drug approvals,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could undermine the FDA’s authority, lead to uncertainties in the industry, and disrupt the FDA’s normal operations, any of which could delay the FDA’s review of regulatory submissions. We cannot predict the full impact of this decision, future judicial challenges brought against the FDA, or the nature or extent of government regulation that may arise from future legislation or administrative action.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 under the new leadership at HHS under the current administration, agency reorganization, mass layoffs due to the reduction in force initiative and other measures may impact the normal operations of the FDA as well as other federal agencies. FDA may lack adequate staff and resources to meet current review, approval, and inspection schedules, which could delay our anticipated timelines. Recent developments at the FDA include announcement of a plan to phase out animal testing for monoclonal antibodies and certain other drugs, the proposed rare disease evidence principles (RDEP) program to facilitate approval of drugs to treat rare diseases with very small patient populations with significant unmet medical need and with a known genetic defect that is the major driver of the pathophysiology, and the announcement of a new Commissioner’s National Priority Voucher program for companies supporting certain U.S. national health priorities and interests. To the extent our competitors are selected for this new voucher pilot program, or are otherwise able to participate in any of these initiatives intended to accelerate drug development and application review, and obtain faster approval than us, our competitive position may be harmed. The FDA has also increased its scrutiny of foreign drug manufacturing facilities and other contractors based in China, especially with respect to the transfer of biological materials, genetic data, and other sensitive data of U.S. patients to parties located in China. It is unclear how our industry and our clinical programs will be impacted by policies and regulations implemented under the current administration and FDA leadership, or other executive orders. There is significant uncertainty in the industry and how federal agencies like the FDA will change in the coming years under the current administration. To the extent the agency reorganization and other agency changes lead to disruptions in the FDA’s operations, our correspondence and regulatory review processes with the FDA may be materially delayed.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employees, consultants and partners may engage in misconduct or other improper activities, including non-compliance with regulatory standards and requirements, which could cause significant liability for us and harm our reputation.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the risk of fraud or other misconduct by our employees, consultants and partners, including intentional or unintentional failures to comply with FDA regulations or similar regulations of comparable other regulatory authorities, provide accurate information to the FDA or comparable other regulatory authorities, comply with manufacturing standards we have established, comply with federal and state healthcare fraud and abuse laws and regulations and similar laws and regulations established and enforced by comparable other regulatory authorities, report financial information or data accurately or disclose unauthorized activities to us. Employee and consultant misconduct could also involve the improper use of information obtained in the course of clinical trials, which could result in regulatory sanctions and serious harm to our reputation. It is not always possible to identify and deter employee and consultant misconduct, whether intentional, reckless, negligent, or unintentional,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pStyle w:val="TextBody"/>
        <w:bidi w:val="0"/>
        <w:spacing w:lineRule="auto" w:line="288" w:before="200" w:after="283"/>
        <w:jc w:val="left"/>
        <w:rPr/>
      </w:pPr>
      <w:r>
        <w:rPr>
          <w:rFonts w:ascii="Times New Roman;serif" w:hAnsi="Times New Roman;serif"/>
          <w:b/>
          <w:i/>
          <w:color w:val="000000"/>
          <w:sz w:val="20"/>
        </w:rPr>
        <w:t>We and our partners may be subject to new legislation, regulatory proposals and healthcare payor initiatives that may increase our costs of compliance and adversely affect our or our partners</w:t>
      </w:r>
      <w:r>
        <w:rPr>
          <w:color w:val="000000"/>
        </w:rPr>
        <w:t xml:space="preserve">’ </w:t>
      </w:r>
      <w:r>
        <w:rPr>
          <w:rFonts w:ascii="Times New Roman;serif" w:hAnsi="Times New Roman;serif"/>
          <w:b/>
          <w:i/>
          <w:color w:val="000000"/>
          <w:sz w:val="20"/>
        </w:rPr>
        <w:t>ability to commercialize our products or develop our product candidates.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are subject to new legislation, regulatory, and healthcare payor initiatives, including the Patient Protection and Affordable Care Act (“PPACA”), which made extensive changes to the delivery of healthcare in the United States, as discussed in “</w:t>
      </w:r>
      <w:r>
        <w:rPr>
          <w:rFonts w:ascii="Times New Roman;serif" w:hAnsi="Times New Roman;serif"/>
          <w:b w:val="false"/>
          <w:i/>
          <w:color w:val="000000"/>
          <w:sz w:val="20"/>
        </w:rPr>
        <w:t>Business—Government Regulation</w:t>
      </w:r>
      <w:r>
        <w:rPr>
          <w:color w:val="000000"/>
        </w:rPr>
        <w:t xml:space="preserve">” </w:t>
      </w:r>
      <w:r>
        <w:rPr>
          <w:rFonts w:ascii="Times New Roman;serif" w:hAnsi="Times New Roman;serif"/>
          <w:b w:val="false"/>
          <w:color w:val="000000"/>
          <w:sz w:val="20"/>
        </w:rPr>
        <w:t xml:space="preserve">in Part I, Item 1 of our most recent Annual Report on Form 10-K. The continuing efforts of the government, insurance companies, managed care organizations and other payors of healthcare services to contain or reduce costs of healthcare could result in decreased net revenues from our pharmaceutical products and decrease potential returns from our development efforts. In addition, pharmaceutical and device manufacturers are also required to report and disclose certain payments and transfers of value to, and investment interests held by, physicians and their immediate family members during the preceding calendar year. Failure to submit required information may result in civil monetary penalties for payments, transfers of value, or ownership or investment interests not reported in an annual submission. Compliance with the PPACA and state laws with similar provisions is difficult and time-consuming, and companies that do not comply with these state laws face civil penalties. Because of the breadth of these laws and the narrowness of the applicable safe harbors, it is possible that some of our business activities could be subject to challenge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under one or more of such laws. Such a challenge could have a material adverse effect on our business, financial condition, results of operations and growth prospects.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there have been a number of other legislative and regulatory proposals aimed at changing the pharmaceutical industry. For example, legislation has been enacted in certain states and at a federal level that requires manufacturers and other entities in the drug supply chain to track and trace each prescription drug at the saleable unit level through the distribution system. The FDA has finalized and proposed regulations implementing such requirements at a federal level. Our compliance with these requirements may be deemed insufficient and we could face a material adverse effect on our business, financial condition, results of operations and growth prospects.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Adequate coverage and reimbursement in the United States and other markets is essential to the commercial success of our approved products. Recently in the United States, there has been heightened governmental scrutiny over the manner in which manufacturers set prices for their marketed products. For example, the Inflation Reduction Act of 2022 (“IRA”) implements a number of drug pricing measures intended to lower the cost of prescription drugs and related healthcare reforms, including limits on price increases and subjecting an escalating number of drugs to annual price negotiations with CMS. The IRA includes several provisions that will impact our business to varying degrees, including provisions that reduced the out-of-pocket spending cap for Medicare Part D beneficiaries to $2,100 in 2026;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Further, under the IRA, orphan drugs are exempted from the Medicare drug price negotiation program, but only if they have one orphan designation and for which the only approved indication or indications are for that disease or condition. If a product receives multiple rare disease designations or has multiple approved indications for more than one disease or condition, it may not qualify for the orphan drug exemption.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2025, the U.S. Government took various steps, both legislative and executive, intended to lower the cost of prescription drugs. The President issued multiple executive orders and took other steps to secure pharmaceutical manufacturers’ agreements to lower certain U.S. prescription drug prices to most favored nation levels, to facilitate direct-to-patient sales of certain U.S. prescription drugs, and to secure agreements to repatriate increased ex-U.S. revenues generated as a result of U.S. Government action that increases drug prices outside the United States. On July 4, 2025, the One Big Beautiful Bill Act (“OBBBA”) was signed into law in the United States. The OBBBA contains a variety of provisions that could impact our business and results of operations. On January 15, 2026, the White House proposed that Congress enact the Great Healthcare Plan Act, which seeks to lower prescription drug and insurance prices. Multiple U.S. states have also enacted legislation intended to decrease the price of prescription drugs.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cannot be sure whether additional legislation or rule-making related to the IRA or drug pricing more generally will be issued or enacted, how insurance pharmacy benefit managers and other insurance providers that manage benefits for Medicare recipients will react to the IRA, or what impact, if any, such additional changes will have on the insurance coverage and profitability of our products or any of our product candidates, if approved for commercial use, in the future. The full effect of the IRA on our business and the healthcare industry in general is not yet known. The IRA or other government efforts to reduce the price of prescription drugs or to limit the amount that governments pay for healthcare products and services could result in additional pricing pressure and have a significant impact on our business.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regional healthcare authorities and individual hospitals are increasingly using bidding procedures to determine what pharmaceutical products and which suppliers will be included in their prescription drug and other healthcare programs. Third-party payors are increasingly challenging the prices charged for medical products and services and, in some cases, imposing restrictions on the coverage of particular drugs. Many third-party payors negotiate the price of medical services and products and develop formularies which establish pricing and reimbursement levels. Exclusion of a product from a formulary can lead to its sharply reduced usage in the third-party payor’s patient population. The process for obtaining coverage can be lengthy and costly, and we expect that it could take several months before a particular payor initially reviews a product and makes a decision with respect to coverage. For example, third-party payors may require cost-benefit analysis data from us in order to demonstrate the cost-effectiveness of our products or any other product we might bring to market. For any individual third-party payor, we may not be able to provide data sufficient to gain reimbursement on a similar or preferred basis to competitive products, or at all, which may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be subject to data privacy and security risks, and our actual or perceived failure to comply with regulations and other legal obligations related to privacy and data protection could harm our business.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may be subject to legal obligations at the international, federal, state, and local level related to privacy and data protection, as described in “</w:t>
      </w:r>
      <w:r>
        <w:rPr>
          <w:rFonts w:ascii="Times New Roman;serif" w:hAnsi="Times New Roman;serif"/>
          <w:b w:val="false"/>
          <w:i/>
          <w:color w:val="000000"/>
          <w:sz w:val="20"/>
        </w:rPr>
        <w:t>Business—Government Regulation—Data Privacy and Security Laws</w:t>
      </w:r>
      <w:r>
        <w:rPr>
          <w:color w:val="000000"/>
        </w:rPr>
        <w:t xml:space="preserve">” </w:t>
      </w:r>
      <w:r>
        <w:rPr>
          <w:rFonts w:ascii="Times New Roman;serif" w:hAnsi="Times New Roman;serif"/>
          <w:b w:val="false"/>
          <w:color w:val="000000"/>
          <w:sz w:val="20"/>
        </w:rPr>
        <w:t>in Part I, Item 1 of our most recent Annual Report on Form 10-K. Compliance with stringent and evolving international and U.S. data protection laws and regulations could require us to take on more onerous obligations in our contracts, restrict our ability to collect, use, and disclose data, or in some cases, impact our ability to operate in certain jurisdictions. For example, we may be subject to the California Consumer Privacy Act (“CCPA”), which gives California residents expanded rights to access and require deletion of their personal data, opt out of certain personal data sharing, and receive detailed information about how their personal data is used. The CCPA provides for civil penalties of up to $7,500 per violation and allows private litigants affected by certain data breaches to recover significant statutory damages. Although the CCPA exempts some data processed in the context of clinical trials, the CCPA may increase compliance costs and potential liability with respect to other personal data we may maintain about California residents.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also may be subject to international privacy and data protection laws, such as the General Data Protection Regulation (“GDPR”) in the European Economic Area (“EEA”) and similar legislation in the United Kingdom and Switzerland. See “</w:t>
      </w:r>
      <w:r>
        <w:rPr>
          <w:rFonts w:ascii="Times New Roman;serif" w:hAnsi="Times New Roman;serif"/>
          <w:b w:val="false"/>
          <w:i/>
          <w:color w:val="000000"/>
          <w:sz w:val="20"/>
        </w:rPr>
        <w:t>Business—Government Regulation—Data Privacy and Security Laws</w:t>
      </w:r>
      <w:r>
        <w:rPr>
          <w:color w:val="000000"/>
        </w:rPr>
        <w:t xml:space="preserve">” </w:t>
      </w:r>
      <w:r>
        <w:rPr>
          <w:rFonts w:ascii="Times New Roman;serif" w:hAnsi="Times New Roman;serif"/>
          <w:b w:val="false"/>
          <w:color w:val="000000"/>
          <w:sz w:val="20"/>
        </w:rPr>
        <w:t>in Part I, Item 1 of our most recent Annual Report on Form 10-K and “</w:t>
      </w:r>
      <w:r>
        <w:rPr>
          <w:rFonts w:ascii="Times New Roman;serif" w:hAnsi="Times New Roman;serif"/>
          <w:b w:val="false"/>
          <w:i/>
          <w:color w:val="000000"/>
          <w:sz w:val="20"/>
        </w:rPr>
        <w:t>Risks Relating to Our Business—Risks Relating to International Operations—Our actual or perceived failure to comply with European or other international governmental laws and regulations and other legal obligations related to privacy, data protection and information security could harm our business</w:t>
      </w:r>
      <w:r>
        <w:rPr>
          <w:color w:val="000000"/>
        </w:rPr>
        <w:t xml:space="preserve">” </w:t>
      </w:r>
      <w:r>
        <w:rPr>
          <w:rFonts w:ascii="Times New Roman;serif" w:hAnsi="Times New Roman;serif"/>
          <w:b w:val="false"/>
          <w:color w:val="000000"/>
          <w:sz w:val="20"/>
        </w:rPr>
        <w:t>in this section for additional discussion of privacy laws and regulations. Failure to comply with these laws and regulations could result in government enforcement actions, private litigation, or harm to our reputation and our business.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Despite our efforts, our personnel or third parties on whom we rely may fail to comply with such data privacy and security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regulatory investigations or actions; litigation; fines and penalties; disruptions of our business operations; reputational harm; loss of revenue or profits; and other adverse business consequences.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because of our use of hazardous materials, we violate any environmental controls or regulations that apply to such materials, we may incur substantial costs and expenses in our remediation efforts.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involves the controlled use of hazardous materials, chemicals and various radioactive compounds. We are subject to federal, state and local laws and regulations governing the use, storage, handling and disposal of these materials and some waste products. Accidental contamination or injury from these materials could occur. In the event of an accident, we could be liable for any damages that result, and any liabilities could exceed our resources. Compliance with environmental laws and regulations or a violation of such environmental laws and regulations could require us to incur substantial unexpected costs, which would materially and adversely affect our results of operations.</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Intellectual Property Risks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fail to adequately protect or enforce our intellectual property rights, the value of those rights would diminish, and if we fail to secure the rights to patents of others, it could adversely affect our business.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will depend in part on our ability and the abilities of our partners to obtain, protect and enforce viable intellectual property rights including, but not limited to, trade name, trademark and patent protection for our Company and subsidiaries and the products, methods, processes and other technologies we may license or develop, to preserve our trade secrets, and to operate without infringing the proprietary rights of third parties both domestically and abroad. The patent position of biotechnology and pharmaceutical companies is generally highly uncertain, involves complex legal and factual questions and has recently been the subject of much litigation. Neither the United States Patent and Trademark Office (“USPTO”), the Patent Cooperation Treaty offices, nor the courts of the United States and other jurisdictions have consistent policies nor predictable rulings regarding the breadth of claims allowed or the degree of protection afforded under many biotechnology and pharmaceutical patents. Further, we may not have worldwide patent protection for all of our product candidates and our intellectual property rights may not be legally protected or enforceable in all countries throughout the world. In some jurisdictions, some of our product candidates in certain programs, including our HAE program, may have short or no composition of matter patent life and we may therefore rely on orphan drug exclusivity or data exclusivity. There can be no assurance that we will obtain orphan drug exclusivity or data exclusivity in every jurisdiction. Further, in some jurisdictions, we may rely on formulation patents or method of use patents. Both the 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achieve issuance and the enforcement of formulation and method of use patents can be highly uncertain and can vary from jurisdiction to jurisdiction, and such patents may therefore not adequately prevent competitors and potential infringers in some jurisdictions. The validity, scope, enforceability, and commercial value of the rights protected by such patents, therefore, is highly uncertain.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rely on trade secrets to protect technology in cases when we believe patent protection is not appropriate or obtainable. However, trade secrets are difficult to protect. In addition, increasing restrictions on non-compete agreements could increase the difficulty of protecting certain proprietary information. If we cannot maintain the confidentiality of our technology and other confidential information in connection with our collaborators and advisors, our ability to receive patent protection or protect our proprietary information may be imperiled.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be involved in legal proceedings to protect or enforce our patents, the patents of our partners or our other intellectual property rights, which could be expensive, time-consuming and unsuccessful.</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Competitors may infringe or otherwise violate our patents, the patents of our licensors or our other intellectual property rights, or may design around our patent claims to produce competitive products that fall outside the scope of our patents. For example, a third party may develop a competitive drug that is similar to one or more of our products or product candidates but that has a different composition that falls outside the scope of our patent protection. To counter infringement or unauthorized use, we may be required to file legal claims, which can be expensive, time-consuming, and unsuccessful. An adverse result in any legal proceeding could put one or more of our patents at risk. Our success depends in part on avoiding the infringement of other parties’ patents and other intellectual property rights as well as avoiding the breach of any licenses relating to our technologies and products. In the United States, patent applications filed in recent years are confidential for 18 months after the earliest effective filing date, while older applications are not published until the patent issues. As a result, avoiding patent infringement may be difficult and we may inadvertently infringe third-party patents or proprietary rights. These third parties could bring claims against us, our partners or our licensors that even if resolved in our favor, could cause us to incur substantial expenses and, if resolved against us, could additionally cause us to pay substantial damages. Further, if a patent infringement suit were brought against us, our partners or our licensors, we or they could be forced to stop or delay research, development, manufacturing or sales of any infringing product in the country or countries covered by the patent we infringe, unless we can obtain a license from the patent holder. Such a license may not be available on acceptable terms, or at all, particularly if the third party is developing or marketing a product competitive with the infringing product. Even if we, our partners or our licensors were able to obtain a license, the rights may be nonexclusive, which would give our competitors access to the same intellectual property.</w:t>
      </w:r>
    </w:p>
    <w:p>
      <w:pPr>
        <w:pStyle w:val="TextBody"/>
        <w:bidi w:val="0"/>
        <w:spacing w:lineRule="auto" w:line="288" w:before="200" w:after="283"/>
        <w:ind w:left="0" w:right="0" w:firstLine="540"/>
        <w:jc w:val="left"/>
        <w:rPr/>
      </w:pPr>
      <w:r>
        <w:rPr>
          <w:rFonts w:ascii="Times New Roman;serif" w:hAnsi="Times New Roman;serif"/>
          <w:b w:val="false"/>
          <w:color w:val="000000"/>
          <w:sz w:val="20"/>
        </w:rPr>
        <w:t>In addition, as described under “</w:t>
      </w:r>
      <w:r>
        <w:rPr>
          <w:rFonts w:ascii="Times New Roman;serif" w:hAnsi="Times New Roman;serif"/>
          <w:b w:val="false"/>
          <w:i/>
          <w:color w:val="000000"/>
          <w:sz w:val="20"/>
        </w:rPr>
        <w:t>Business—Government Regulation—FDA Regulation—Abbreviated New Drug Applications for Generic Drugs</w:t>
      </w:r>
      <w:r>
        <w:rPr>
          <w:color w:val="000000"/>
        </w:rPr>
        <w:t xml:space="preserve">” </w:t>
      </w:r>
      <w:r>
        <w:rPr>
          <w:rFonts w:ascii="Times New Roman;serif" w:hAnsi="Times New Roman;serif"/>
          <w:b w:val="false"/>
          <w:color w:val="000000"/>
          <w:sz w:val="20"/>
        </w:rPr>
        <w:t>in Part I, Item 1 of our most recent Annual Report on Form 10-K, third parties may not file an ANDA for a generic drug with the FDA until the expiration of five years following the original product approval unless the submission is accompanied by a Paragraph IV certification, in which case third parties may submit an ANDA four years following the original product approval (referred to as the “NCE-1 date”). The NCE-1 date for ORLADEYO was in December 2024. In January 2025 and January 2026, we received a Paragraph IV notice of certification from Annora advising that Annora has submitted an ANDA to the FDA seeking approval to manufacture, use or sell a generic version of ORLADEYO in the United States prior to the expiration of four patents listed in the FDA’s Orange Book, which expire in 2039</w:t>
      </w:r>
      <w:r>
        <w:rPr>
          <w:rFonts w:ascii="Times New Roman;serif" w:hAnsi="Times New Roman;serif"/>
          <w:b w:val="false"/>
          <w:color w:val="000000"/>
          <w:sz w:val="20"/>
          <w:shd w:fill="FFFFFF" w:val="clear"/>
        </w:rPr>
        <w:t>. On March 10, 2025, as supplemented by the First Amended Complaint filed in December 2025, we ﬁled a patent infringement lawsuit in the United States District Court for the District of Delaware against the Defendants (as defined in “</w:t>
      </w:r>
      <w:r>
        <w:rPr>
          <w:rFonts w:ascii="Times New Roman;serif" w:hAnsi="Times New Roman;serif"/>
          <w:b w:val="false"/>
          <w:i/>
          <w:color w:val="000000"/>
          <w:sz w:val="20"/>
          <w:shd w:fill="FFFFFF" w:val="clear"/>
        </w:rPr>
        <w:t>Legal Proceedings</w:t>
      </w:r>
      <w:r>
        <w:rPr>
          <w:color w:val="000000"/>
          <w:shd w:fill="FFFFFF" w:val="clear"/>
        </w:rPr>
        <w:t xml:space="preserve">” </w:t>
      </w:r>
      <w:r>
        <w:rPr>
          <w:rFonts w:ascii="Times New Roman;serif" w:hAnsi="Times New Roman;serif"/>
          <w:b w:val="false"/>
          <w:color w:val="000000"/>
          <w:sz w:val="20"/>
          <w:shd w:fill="FFFFFF" w:val="clear"/>
        </w:rPr>
        <w:t xml:space="preserve">included in Part II, Item 1 of this report) asserting infringement of the challenged patents arising from Annora’s ANDA filing with the FDA. </w:t>
      </w:r>
      <w:r>
        <w:rPr>
          <w:rFonts w:ascii="Times New Roman;serif" w:hAnsi="Times New Roman;serif"/>
          <w:b w:val="false"/>
          <w:color w:val="000000"/>
          <w:sz w:val="20"/>
        </w:rPr>
        <w:t xml:space="preserve">For further information, </w:t>
      </w:r>
      <w:r>
        <w:rPr>
          <w:rFonts w:ascii="Times New Roman;serif" w:hAnsi="Times New Roman;serif"/>
          <w:b w:val="false"/>
          <w:color w:val="000000"/>
          <w:sz w:val="20"/>
          <w:shd w:fill="FFFFFF" w:val="clear"/>
        </w:rPr>
        <w:t>see the section titled “</w:t>
      </w:r>
      <w:r>
        <w:rPr>
          <w:rFonts w:ascii="Times New Roman;serif" w:hAnsi="Times New Roman;serif"/>
          <w:b w:val="false"/>
          <w:i/>
          <w:color w:val="000000"/>
          <w:sz w:val="20"/>
          <w:shd w:fill="FFFFFF" w:val="clear"/>
        </w:rPr>
        <w:t>Legal Proceedings</w:t>
      </w:r>
      <w:r>
        <w:rPr>
          <w:color w:val="000000"/>
          <w:shd w:fill="FFFFFF" w:val="clear"/>
        </w:rPr>
        <w:t xml:space="preserve">” </w:t>
      </w:r>
      <w:r>
        <w:rPr>
          <w:rFonts w:ascii="Times New Roman;serif" w:hAnsi="Times New Roman;serif"/>
          <w:b w:val="false"/>
          <w:color w:val="000000"/>
          <w:sz w:val="20"/>
          <w:shd w:fill="FFFFFF" w:val="clear"/>
        </w:rPr>
        <w:t xml:space="preserve">included in Part II, Item 1 of this report </w:t>
      </w:r>
      <w:r>
        <w:rPr>
          <w:rFonts w:ascii="Times New Roman;serif" w:hAnsi="Times New Roman;serif"/>
          <w:b w:val="false"/>
          <w:color w:val="000000"/>
          <w:sz w:val="20"/>
        </w:rPr>
        <w:t>and “</w:t>
      </w:r>
      <w:r>
        <w:rPr>
          <w:rFonts w:ascii="Times New Roman;serif" w:hAnsi="Times New Roman;serif"/>
          <w:b w:val="false"/>
          <w:i/>
          <w:color w:val="000000"/>
          <w:sz w:val="20"/>
        </w:rPr>
        <w:t>Note 15—Commitments and Contingencies”</w:t>
      </w:r>
      <w:r>
        <w:rPr>
          <w:color w:val="000000"/>
        </w:rPr>
        <w:t xml:space="preserve"> </w:t>
      </w:r>
      <w:r>
        <w:rPr>
          <w:rFonts w:ascii="Times New Roman;serif" w:hAnsi="Times New Roman;serif"/>
          <w:b w:val="false"/>
          <w:color w:val="000000"/>
          <w:sz w:val="20"/>
        </w:rPr>
        <w:t>in the Notes to the Condensed Consolidated Financial Statements in Part I, Item 1 of this report. We intend to vigorously defend our intellectual property rights protecting ORLADEYO. Additional third parties could challenge our applicable patents, which may result in our initiation of patent infringement litigation in response to such challenge. We cannot predict how any additional third party would address our listed patents, whether we would sue on any such patents, or the outcome of any such suit. However, litigation to enforce or defend intellectual property rights is complex, costly, and involves significant commitments of management’s time.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If we or our partners are unable or fail to adequately initiate, protect, defend or enforce our intellectual property rights in any area of commercial interest or in any part of the world where we wish to seek regulatory approval for our products, methods, processes and other technologies, the value of our products and product candidates to produce revenue would diminish. Additionally, if our products, methods, processes, and other technologies or our commercial use of such products, processes, and other technologies, including, but not limited to, any trade name, trademark or commercial strategy infringe the proprietary rights of other parties, we could incur substantial costs. The USPTO and the patent offices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of other jurisdictions have issued to us a number of patents for our various inventions, and we have in-licensed several patents from various institutions. We have filed additional patent applications and provisional patent applications with the USPTO. We have filed a number of corresponding foreign patent applications and intend to file additional foreign and U.S. patent applications, as appropriate. We have also filed certain trademark and trade name applications worldwide. We cannot assure you as to:</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degree and range of protection any patents will afford against competitors with similar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and when patents will issue;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patents do issue, we cannot be sure that we will be able to adequately defend such patents and whether or not we will be able to adequately enforce such patents;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whether or not others will obtain patents claiming aspects similar to those covered by our patent applications.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the USPTO or other foreign patent office upholds patents issued to others or if the USPTO grants patent applications filed by others, we may have to:</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obtain licenses or redesign our products or processes to avoid infringement;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stop using the subject matter claimed in those patents;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pay damages.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initiate, or others may bring against us, litigation or administrative proceedings related to intellectual property rights, including proceedings before the USPTO or other foreign patent office. Any judgment adverse to us in any litigation or other proceeding arising in connection with a patent or patent application could materially and adversely affect our business, financial condition and results of operations. In addition, the costs of any litigation or administrative proceeding may be substantial whether or not we are successful.</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success is also dependent in part upon the skills, knowledge and experience, none of which is patentable, of our scientific and technical personnel. To help protect our rights, we require all employees, consultants, advisors and partners to enter into confidentiality agreements that prohibit the disclosure of confidential information to anyone outside of our Company and require disclosure and assignment to us of their ideas, developments, discoveries and inventions. These agreements may not provide adequate protection for our trade secrets, know-how or other proprietary information in the event of any unauthorized use or disclosure or the lawful development by others of such information, and if any of our proprietary information is disclosed, our business will suffer because our revenues depend upon our ability to license or commercialize our products and product candidates and any such events would significantly impair the value of such products and product candidates.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We have diversified our pipeline to include the development of protein therapeutics, which may create additional risks and challenges.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diversified our pipeline beyond small-molecule medicines to develop protein therapeutics. The development of protein therapeutics may create additional risks and challenges, including, among others: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patent protection for protein therapeutics may be narrower in scope than for our small-molecule medicines, and our patents and patent applications may not adequately protect our intellectual property, provide exclusivity for our protein therapeutic candidates or prevent others from designing around our claims;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formulation issues with our protein therapeutic candidates may require redevelopment of the formulation, which may be time-consuming or unsuccessful;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patent applications that we own or in-license may fail to result in issued patents with claims that cover our protein therapeutic candidates in the United States or in other countries;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competitors may be able to more easily develop and seek patent protection on similar protein therapeutic candidates;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orally-administered drugs are often less expensive and present a reduced treatment burden as compared to protein therapeutics and therefore would have competitive advantages if they were developed and shown to be safe and effective for the indication that our protein therapeutic product candidates are targeting.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Changes in U.S. patent law could diminish the value of patents in general, thereby impairing our ability to protect our products.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is the case with other biotechnology and pharmaceutical companies, our success is heavily dependent on intellectual property, particularly patents. Obtaining and enforcing patents in the biotechnology and pharmaceutical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industries involves both technological and legal complexity. Therefore, obtaining and enforcing such patents is costly, time-consuming,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employ certain individuals who were previously employed at universities or other biotechnology or pharmaceutical companies, including our competitors or potential competitors. Our efforts to vet our employees, consultants, and independent contractors and prevent their use of the proprietary information or know-how of others in their work for us may not be successful, and we may in the future be subject to claims that our employees, consultants, or independent contractors have wrongfully used or disclosed confidential information of third parties.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distract management and other employees.</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Product Liability Risks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face an inherent risk of liability in the event that the use or misuse of our products or product candidates results in personal injury or death, and our product liability insurance coverage may be insufficient.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the use or misuse of any products we sell, or a partner sells, harms people, we may be subject to costly and damaging product liability claims brought against us by consumers, healthcare providers, pharmaceutical companies, third-party payors or others. The use of our product candidates in clinical trials, including post-marketing clinical studies, could also expose us to product liability claims. We cannot predict all of the possible harms or side effects that may result from the use of our products or the testing of product candidates, and therefore, the amount of insurance coverage we currently have may not be adequate to cover all liabilities or defense costs we might incur. A product liability claim or series of claims brought against us could give rise to a substantial liability that could exceed our resources. Even if claims are not successful, the costs of defending such claims and potential adverse publicity could be harmful to our business.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face an inherent risk of product liability exposure related to the testing of our product candidates in human clinical trials and face even greater risks upon commercialization by us of our products or product candidates. We have product liability insurance covering our clinical trials. Clinical trial and product liability insurance is becoming increasingly expensive. As a result, we may be unable to obtain sufficient insurance or increase our existing coverage at a reasonable cost to protect us against losses that could have a material adverse effect on our business. An individual may bring a product liability claim against us if one of our products or product candidates causes, or is claimed to have caused, an injury or is found to be unsuitable for consumer use. Any product liability claim brought against us, with or without merit, could result in:</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liabilities that substantially exceed our product liability insurance, which we would then be required to pay from other sources, if available;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increase of our product liability insurance rates or the inability to maintain insurance coverage in the future on acceptable terms, or at all;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withdrawal of clinical trial volunteers or patients;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damage to our reputation and the reputation of our products, resulting in lower sales;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investigations that could require costly recalls or product modifications;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litigation costs;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diversion of management’s attention from managing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Contractual Arrangements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face risks related to our former U.S. Government contracts.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had contracts with the Biomedical Advanced Research and Development Authority within HHS and the National Institute of Allergy and Infectious Diseases within HHS for the development of galidesivir as a treatment for diseases caused by RNA pathogens, including Marburg virus disease, Yellow Fever and Ebola virus disease. In contracting with U.S. Government agencies, we became subject to various U.S. Government contract requirements, including general clauses for a cost-reimbursement research and development contract, which may limit our reimbursement. While all U.S. Government funding for galidesivir expired in 2022, we may still face risks related to these U.S. Government contracts pending final close out of these contracts.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fail to reach milestones or to make annual minimum payments or otherwise breach our obligations under our license agreements, our licensors may terminate our agreements with them and/or seek additional remedies.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are unable or fail to meet payment obligations, performance milestones relating to the timing of regulatory filings, product supply obligations, post-approval commitments, or development and commercial diligence obligations; are unable or fail to make milestone payments or material data use payments in accordance with applicable provisions; or fail to pay the minimum annual payments under any of our in-licenses relating to our products or product candidates, our licensors may terminate the applicable license and/or seek other available remedies. As a result, our development of the respective product candidate or commercialization of the product would cease.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Because continuing events of default exist under the PhaRMA Notes, the holders of the PhaRMA Notes may be able to foreclose on the collateral securing the PhaRMA Notes and our equity interest in Royalty Sub. As a result, we may not realize the benefit of future royalty payments, if any, that might otherwise accrue to us following repayment of the PhaRMA Notes and we could otherwise be adversely affected.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March 2011, JPR Royalty Sub LLC, our wholly owned subsidiary (“Royalty Sub”), issued $30.0 million in aggregate principal amount of PhaRMA Senior Secured 14.0% Notes due on December 1, 2020 (the “PhaRMA Notes”). The PhaRMA Notes are secured principally by (i) certain royalty and milestone payments under our agreement with Shionogi, pursuant to which Shionogi licensed from us the rights to market peramivir in Japan and Taiwan and (ii) the pledge by us of our equity interest in Royalty Sub. Since September 1, 2014, payments from Shionogi have been insufficient for Royalty Sub to service its obligations under the PhaRMA Notes, resulting in a continuing event of default with respect to the PhaRMA Notes since that time. In addition, the PhaRMA Notes had a final legal maturity date of December 1, 2020, at which time the outstanding principal amount of the PhaRMA Notes of $30.0 million, together with accrued and unpaid interest of $20.6 million, was due in full. The failure by Royalty Sub to repay these amounts at the maturity date constituted an additional event of default under the PhaRMA Notes. As Royalty Sub has been unable to service its obligations under the PhaRMA Notes and continuing events of default exist under the PhaRMA Notes, the holders of the PhaRMA Notes may be able to foreclose on the collateral securing the PhaRMA Notes and our equity interest in Royalty Sub and may exercise other remedies available to them under the indenture or other documents related to the PhaRMA Notes. In such event, we may not realize the benefit of future royalty payments, if any, that might otherwise accrue to us following repayment of the PhaRMA Notes, we may incur legal costs, and we might otherwise be adversely affected.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cannot predict whether holders of PhaRMA Notes will seek to pursue any remedies as a result of the continuing events of default with respect to the PhaRMA Notes. The PhaRMA Notes are the obligation of Royalty Sub. Due to the non-recourse nature of the PhaRMA Notes, in the event of any potential foreclosure, we believe the primary impact to us would be the loss of future royalty payments, if any, from Shionogi and the legal costs associated with retiring the PhaRMA Notes. As a result, we do not currently expect the continuing events of default on the PhaRMA Notes to have a significant impact on our future results of operations or cash flows. However, we cannot assure you that this will be the case or that we will not otherwise be adversely affected as a result of the continuing events of default under the PhaRMA Notes or the failure by Royalty Sub to repay the PhaRMA Notes at maturity.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While Royalty Sub continues to pay the holders of the PhaRMA Notes any royalty payments received from Shionogi, which are immaterial, we wrote off the balance due under the PhaRMA Notes to other income as a debt extinguishment as of December 31, 2021.</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We have incurred significant indebtedness, which could adversely affect our business. Additionally, the Blackstone Loan Agreement contains conditions and restrictions that limit our flexibility in operating our business. We may be required to make a prepayment or repay our outstanding indebtedness earlier than we expect if a prepayment event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an event of default occurs, including a material adverse change with respect to us, which could have a material adverse effect on our business.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January 23, 2026, we entered into the Blackstone Loan Agreement, pursuant to which the lenders funded initial term loans in the aggregate principal amount of $400.0 million. Subject to the mutual agreement between the Company, Blackstone and the lenders, we may request additional term loans up to an aggregate amount not exceeding $150.0 million. Under the Blackstone Loan Agreement, we will be required to pay to the lenders a prepayment premium or a make-whole premium, as applicable in the event that, prior to the fourth anniversary of the closing date of the Blackstone Loan Agreement, we prepay or repay, or are required to prepay or repay, voluntarily or pursuant to a mandatory prepayment obligation under the Blackstone Loan Agreement (e.g., upon certain asset sales, a change of control of the Company and specified other events, subject to certain exceptions), all or part of the then-outstanding term loans under the Blackstone Loan Agreement, in each case, subject to certain exceptions as set forth in the Blackstone Loan Agreement.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indebtedness could have important consequences to our stockholders. For example, it: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increases our vulnerability to adverse general economic or industry conditions;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limits our flexibility in planning for, or reacting to, changes in our business or the industry in which we operate;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makes us more vulnerable to increases in interest rates, as borrowings under the Blackstone Loan Agreement will accrue interest at variable rates, such that increases in interest rates will increase the associated interest payments that we are required to make on outstanding borrowings;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requires us to dedicate a portion of our cash flow from operations to interest payments and a covenant to maintain minimum liquidity levels, limiting the availability of cash for other purposes;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limits our ability to obtain additional financing or refinancing in the future for working capital or other purposes;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places us at a competitive disadvantage compared to our competitors that have less indebtedness.</w:t>
      </w:r>
    </w:p>
    <w:p>
      <w:pPr>
        <w:pStyle w:val="TextBody"/>
        <w:bidi w:val="0"/>
        <w:spacing w:before="0" w:after="0"/>
        <w:jc w:val="left"/>
        <w:rPr/>
      </w:pPr>
      <w:r>
        <w:rPr/>
      </w:r>
    </w:p>
    <w:p>
      <w:pPr>
        <w:pStyle w:val="TextBody"/>
        <w:bidi w:val="0"/>
        <w:spacing w:lineRule="auto" w:line="288" w:before="0" w:after="0"/>
        <w:ind w:left="0" w:right="0" w:firstLine="547"/>
        <w:jc w:val="left"/>
        <w:rPr/>
      </w:pPr>
      <w:r>
        <w:rPr>
          <w:rFonts w:ascii="Times New Roman;serif" w:hAnsi="Times New Roman;serif"/>
          <w:b w:val="false"/>
          <w:color w:val="000000"/>
          <w:sz w:val="20"/>
        </w:rPr>
        <w:t>Furthermore, the Blackstone Loan Agreement contains covenants that limit our ability to engage in specified types of transactions. Subject to certain exceptio</w:t>
      </w:r>
      <w:r>
        <w:rPr>
          <w:rFonts w:ascii="Times New Roman;serif" w:hAnsi="Times New Roman;serif"/>
          <w:b w:val="false"/>
          <w:color w:val="000000"/>
          <w:sz w:val="20"/>
          <w:shd w:fill="FFFFFF" w:val="clear"/>
        </w:rPr>
        <w:t>ns, these covenants limit our ability to, among other things, dispose of assets; engage in certain mergers, acquisitions, and similar</w:t>
      </w:r>
      <w:r>
        <w:rPr>
          <w:color w:val="000000"/>
        </w:rPr>
        <w:t xml:space="preserve"> </w:t>
      </w:r>
      <w:r>
        <w:rPr>
          <w:rFonts w:ascii="Times New Roman;serif" w:hAnsi="Times New Roman;serif"/>
          <w:b w:val="false"/>
          <w:color w:val="000000"/>
          <w:sz w:val="20"/>
        </w:rPr>
        <w:t>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w:t>
      </w:r>
    </w:p>
    <w:p>
      <w:pPr>
        <w:pStyle w:val="TextBody"/>
        <w:bidi w:val="0"/>
        <w:spacing w:before="0" w:after="0"/>
        <w:jc w:val="left"/>
        <w:rPr/>
      </w:pPr>
      <w:r>
        <w:rPr/>
      </w:r>
    </w:p>
    <w:p>
      <w:pPr>
        <w:pStyle w:val="TextBody"/>
        <w:bidi w:val="0"/>
        <w:spacing w:lineRule="auto" w:line="288" w:before="0" w:after="0"/>
        <w:ind w:left="0" w:right="0" w:firstLine="547"/>
        <w:jc w:val="left"/>
        <w:rPr>
          <w:rFonts w:ascii="Times New Roman;serif" w:hAnsi="Times New Roman;serif"/>
          <w:b w:val="false"/>
          <w:color w:val="000000"/>
          <w:sz w:val="20"/>
        </w:rPr>
      </w:pPr>
      <w:r>
        <w:rPr>
          <w:rFonts w:ascii="Times New Roman;serif" w:hAnsi="Times New Roman;serif"/>
          <w:b w:val="false"/>
          <w:color w:val="000000"/>
          <w:sz w:val="20"/>
        </w:rPr>
        <w:t>The covenants contained in the Blackstone Loan Agreement could cause us to be unable to pursue business opportunities that we or our stockholders may consider beneficial without the lenders’ permission or without repaying all outstanding obligations under the Blackstone Loan Agreement.</w:t>
      </w:r>
    </w:p>
    <w:p>
      <w:pPr>
        <w:pStyle w:val="TextBody"/>
        <w:bidi w:val="0"/>
        <w:spacing w:before="0" w:after="0"/>
        <w:jc w:val="left"/>
        <w:rPr/>
      </w:pPr>
      <w:r>
        <w:rPr/>
      </w:r>
    </w:p>
    <w:p>
      <w:pPr>
        <w:pStyle w:val="TextBody"/>
        <w:bidi w:val="0"/>
        <w:spacing w:lineRule="auto" w:line="288" w:before="0" w:after="0"/>
        <w:ind w:left="0" w:right="0" w:firstLine="547"/>
        <w:jc w:val="left"/>
        <w:rPr>
          <w:rFonts w:ascii="Times New Roman;serif" w:hAnsi="Times New Roman;serif"/>
          <w:b w:val="false"/>
          <w:color w:val="000000"/>
          <w:sz w:val="20"/>
        </w:rPr>
      </w:pPr>
      <w:r>
        <w:rPr>
          <w:rFonts w:ascii="Times New Roman;serif" w:hAnsi="Times New Roman;serif"/>
          <w:b w:val="false"/>
          <w:color w:val="000000"/>
          <w:sz w:val="20"/>
        </w:rPr>
        <w:t>A breach of any of these covenants could result in an event of default under the Blackstone Loan Agreement. An event of default will also occur if, among other things, we fail to pay amounts due under the Blackstone Loan Agreement, we fail to repay certain other indebtedness having an aggregate principal amount in excess of a threshold amount, an insolvency event occurs with respect to us, judgments for the payment of money in excess of a threshold amount are entered into against us, or a material impairment of our ability to perform our obligations under the Blackstone Loan Agreement occurs or certain negative regulatory events occur. In the case of a continuing event of default under the Blackstone Loan Agreement, the lenders under the Blackstone Loan Agreement could elect to declare all amounts outstanding to be immediately due and payable, proceed against the collateral in which we granted to the lenders a security interest, or otherwise exercise the rights of a secured creditor. Amounts outstanding under the Blackstone Loan Agreement are secured by a security interest in, subject to certain exceptions, substantially all of our assets. Because substantially all of our assets are pledged to secure the Blackstone Loan Agreement obligations, our ability to incur additional secured indebtedness or to sell or dispose of assets to raise capital may be impaired, which could have an adverse effect on our financial flexibility.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International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International expansion of our business exposes us to business, legal, regulatory, political, operational, financial, and economic risks.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currently conduct clinical studies and regulatory activities and have hired employees outside of the United States. Doing business internationally involves a number of risks, including, but not limited to:</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multiple, conflicting, and changing laws and regulations such as privacy and data regulations, transparency regulations, tax laws, export and import restrictions, employment laws, regulatory requirements, and other governmental approvals, permits, and licenses;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introduction of new health authority requirements and/or changes in health authority expectations;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by us or our partners to obtain and maintain regulatory approvals for the use of our products in various countries;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complexities and difficulties in obtaining and maintaining protection for, and enforcing, our intellectual property;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difficulties in staffing and managing foreign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complexities associated with managing multiple payor reimbursement regimes, government payors, or patient self-pay systems;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limits on our ability to penetrate international markets;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financial risks, such as longer payment cycles, difficulty collecting accounts receivable, the impact of local and regional financial crises on demand and payment for our products, and exposure to foreign currency exchange rate fluctuations, which have been increasingly prevalent alongside a fluctuating U.S. dollar;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natural disasters and political and economic instability, including wars, terrorism, political unrest, results of certain elections and votes, actual or threatened public health emergencies and outbreak of disease, epidemics or pandemics (e.g., the COVID-19 pandemic), boycotts, adoption or expansion of government trade restrictions, and other business restrictions;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certain expenses including, among others, expenses for travel, translation, and insurance;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and compliance risks that relate to maintaining accurate information and control over commercial operations and activities that may fall within the purview of the U.S. Foreign Corrupt Practices Act, including its books and records provisions or anti-bribery provisions, and foreign laws and regulations;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and compliance risks relating to doing business with any entity that is subject to sanctions administered by the Office of Foreign Assets Control of the U.S. Department of the Treasury.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of these factors could significantly harm our international expansion of operations and adversely affect our business and results of operations. Additionally, in some countries, such as Japan,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partners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Foreign currency exchange rate fluctuations could have an adverse impact on our results of operations, financial position, and cash flows.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conduct operations in countries outside of the United States involving transactions in a variety of currencies other than the U.S. dollar. These transactions include, without limitation, commercial sales, contract manufacturing, and clinical trial activities. Although most of our revenues and expenses are denominated in U.S. dollars, we have foreign currency exposure to fluctuations in other foreign currencies, such as the Euro, British Pound, Japanese Yen and Canadian Dollar. Changes in the value of these currencies relative to the U.S. dollar may impact our condensed consolidated operating results, including our revenues and expenses, causing fluctuations in our operating results from period to period and/or resulting in foreign currency transaction losses that adversely impact our results of operations, financial position, and cash flows. See “</w:t>
      </w:r>
      <w:r>
        <w:rPr>
          <w:rFonts w:ascii="Times New Roman;serif" w:hAnsi="Times New Roman;serif"/>
          <w:b w:val="false"/>
          <w:i/>
          <w:color w:val="000000"/>
          <w:sz w:val="20"/>
        </w:rPr>
        <w:t>Quantitative and Qualitative Disclosures about Market Risk—Foreign Currency Risk</w:t>
      </w:r>
      <w:r>
        <w:rPr>
          <w:color w:val="000000"/>
        </w:rPr>
        <w:t xml:space="preserve">” </w:t>
      </w:r>
      <w:r>
        <w:rPr>
          <w:rFonts w:ascii="Times New Roman;serif" w:hAnsi="Times New Roman;serif"/>
          <w:b w:val="false"/>
          <w:color w:val="000000"/>
          <w:sz w:val="20"/>
        </w:rPr>
        <w:t>in Part I, Item 3 of this report for additional information about our foreign currency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actual or perceived failure to comply with European or other international governmental laws and regulations and other legal obligations related to privacy, data protection and information security could harm our business.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Outside the United States, an increasing number of laws and regulations may govern data privacy and security. EU member states, the United Kingdom, Switzerland and other countries have adopted data protection laws and regulations, which impose significant compliance obligations. These laws include the GDPR and similar national legislation within the EEA, the United Kingdom GDPR, Switzerland’s Federal Data Protection Act, the EU Clinical Trials Regulation, and the e-Privacy Directive (2002/58/EC), as well as laws and regulations outside Europe, and are discussed in more detail in “</w:t>
      </w:r>
      <w:r>
        <w:rPr>
          <w:rFonts w:ascii="Times New Roman;serif" w:hAnsi="Times New Roman;serif"/>
          <w:b w:val="false"/>
          <w:i/>
          <w:color w:val="000000"/>
          <w:sz w:val="20"/>
        </w:rPr>
        <w:t>Business—Government Regulation—Data Privacy and Security Laws</w:t>
      </w:r>
      <w:r>
        <w:rPr>
          <w:color w:val="000000"/>
        </w:rPr>
        <w:t xml:space="preserve">” </w:t>
      </w:r>
      <w:r>
        <w:rPr>
          <w:rFonts w:ascii="Times New Roman;serif" w:hAnsi="Times New Roman;serif"/>
          <w:b w:val="false"/>
          <w:color w:val="000000"/>
          <w:sz w:val="20"/>
        </w:rPr>
        <w:t>in Part I, Item 1 of our most recent Annual Report on Form 10-K. Failure to comply with the requirements of these laws may result in significant fines. For example, noncompliance with the GDPR or related national data protection laws, which may deviate from the GDPR, may result in significant fines of up to 4.0% of global revenues, or €20.0 million, whichever is greater.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such fines, failure to comply with the requirements of the GDPR or similar national legislation may result in temporary or definitive bans on data processing and other corrective actions and subject us to litigation and/or adverse publicity, which could have material adverse effects on our reputation and business. As a result of the implementation of the GDPR, and other laws and regulations, we are required to put in place additional mechanisms to ensure compliance with the data protection rules. For example, the GDPR requires us to make more detailed disclosures to data subjects, requires disclosure of the legal basis on which we can process personal data, makes it harder for us to obtain valid consent for processing, requires the appointment of a data protection officer where sensitive personal data (i.e., health data) is processed on a large scale, introduces mandatory data breach notification throughout the European Union, imposes additional obligations on us when we are contracting with service providers and requires us to adopt appropriate privacy governance including policies, procedures, training and data audits. We depend on a number of third parties in relation to the provision of our services, a number of which process personal data of EU individuals on our behalf. With each such provider, we are required to enter into contractual arrangements under which they are contractually obligated to only process personal data according to our instructions, and conduct diligence to ensure that they have sufficient technical and organizational security measures in place. Other laws and regulations have requirements that are similar, and in some instances more far-reaching.</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Compliance with evolving laws regarding the transfer of personal data to the United States and other countries also requires increased resources and may result in increased exposure to regulatory actions, fines and penalties, the inability to transfer data and work with partners, vendors and other third parties, and injunctions against our processing or transferring of personal data necessary to operate our business. We are also subject to evolving European and other privacy laws on electronic marketing and cookies.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Compliance with the requirements imposed by the GDPR and other such laws can be time-consuming, expensive and difficult, and may increase our cost of doing business or require us to change our business practices, and despite our efforts we may not be successful in achieving compliance if our personnel, collaborators, partners or vendors do not comply with applicable data protection obligations.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regulatory investigations or actions; litigation; fines and penalties; disruptions of our business operations; reputational harm; loss of revenue or profits; and other adverse business consequences.</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Technology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our facilities, or the facilities of our third-party vendors, incur damage or power is lost for a significant length of time, our business will suffer.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and our third-party vendors store commercial product, clinical and stability samples, and manufacturing data at our facilities that could be damaged if the facilities incur physical damage or in the event of an extended power failure. We have backup power systems in addition to backup generators to maintain power to all critical functions, but any loss of these products or samples could result in significant delays in our commercialization or product development process.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store most of our preclinical and clinical data at our facilities. While duplicate copies of most clinical data are secured off-site, and a significant portion of our data is included in regular backups of our systems, we could lose important data if our facilities incur damage, or if our vendor data systems fail, suffer damage or are destroyed. Any significant degradation or failure of our computer systems could cause us to inaccurately calculate or lose our data. Loss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data could result in significant delays in our product development process, and any system failure could harm our business and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Cyber incidents and related disruptions in our or our third-party vendors’ information technology systems could adversely affect our business.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increasingly dependent on information technology systems to operate our business. In addition, the FDA and other U.S. and foreign regulatory authorities regulate, among other things, the record keeping and storage of data pertaining to potential pharmaceutical products. Like other companies in our industry, our information technology systems and infrastructure (as well as those of our third-party providers) and our lab equipment and operations technology may be vulnerable to cyber incidents, intrusions, and other similar activities that threaten the confidentiality, integrity, and availability of our information. These threats come from a variety of sources, including by computer hackers, foreign governments, foreign companies, or competitors, or may be breached by employee error, malfeasance or other disruption. These threats are prevalent, continue to rise, and are becoming increasingly difficult to detect. Recently, there have been reports of disruptions in billing and data systems in healthcare. Such cybersecurity events which materially disrupt the healthcare system upon which our business relies could adversely affect our business if such disruption is widespread and continues for an extended period of time.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Cyber incidents could also include the use of artificial intelligence (“AI”) and machine learning to launch more automated, targeted and coordinated attacks on targets. Cyber incidents may lead to operational outages, loss of intellectual property due to industrial espionage, malware, and financial or data attacks via social engineering. These risks are heightened by the wide adoption of virtual and remote working, with sensitive data accessed by employees working in less secure, home-based environments, as well as the increasing use of generative AI by both employees and third parties. A breakdown, invasion, corruption, destruction, or interruption of information technology systems could negatively impact operations. If our systems are damaged, fail to function properly or otherwise become unavailable, we may incur substantial costs to repair or replace them, and we may experience loss of critical data and interruptions or delays in our ability to perform critical functions, which could adversely affect our business, financial condition or results of operations.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we rely on third-party service providers and technologies to operate significant information technology systems and business infrastructure, and we currently use these providers to perform business critical information technology and business services. Supply-chain attacks have increased in frequency and severity, and we cannot guarantee that third parties’ infrastructure in our supply chain or our third-party partners’ supply chains have not been or will not be compromised.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experienced cybersecurity threats and incidents, which to date have not had a material impact on our reputation, business, financial condition, or operations; however; there is no assurance that such impacts will not be material in the future.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compromise of our data security could also result in a violation of applicable privacy and other laws, significant legal, regulatory, and financial exposure, damage to our reputation, loss or misuse of the information and a loss of confidence in our data security measures, which could harm our business. Loss or misuse of our intellectual property, clinical trial data, or commercially sensitive data could adversely impact our business. While we have implemented security measures designed to protect against security incidents and a significant portion of our data is included in regular backups of our systems, there can be no assurance that our efforts to protect our data and information technology systems will prevent breakdowns or breaches in our systems, or those of third parties with which we do business, and any such events could adversely affect our business.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From time to time, we use artificial intelligence in our business, and challenges with properly managing its use could adversely affect our business.</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increasing use of AI and machine learning technology in the biopharmaceutical industry, combined with an uncertain regulatory environment, presents new risks and challenges. From time to time, we adopt and integrate AI solutions into our ecosystem for specific use cases reviewed by legal and information security, and applications of AI may become more important in our operations over time. Our vendors may incorporate AI tools into their offerings without disclosing this use to us, and the providers of these tools may not meet existing or rapidly evolving regulatory or industry standards with respect to privacy and data protection. Moreover, the use of AI-based tools may lead to the inadvertent release of confidential or proprietary information, which may adversely impact our ability to realize the benefit of our intellectual property, cause us to incur liabilities as the result of any breaches of confidentiality, impact our ability to comply with data security and privacy laws, and introduce additional cybersecurity risks. Further, as the regulatory framework for these technologies evolves, it is possible that new laws and regulations will be adopted, or that existing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and regulations may be interpreted in ways that would affect our business, including as a result of the cost to comply with such laws or regulations. Our competitors or other third parties may also incorporate AI into their businesses more efficiently than us, which could impair our ability to compete effectively and adversely affect our results of operations. The rapid innovation and developments surrounding AI, including potential government regulation of AI, may require significant resources to develop, test and maintain our implementations of AI.</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Operational Risks</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ability to maintain global brand uniformity for ORLADEYO may be impacted by the sale of our European ORLADEYO business.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In connection with the sale of our </w:t>
      </w:r>
      <w:r>
        <w:rPr>
          <w:rFonts w:ascii="Times New Roman;serif" w:hAnsi="Times New Roman;serif"/>
          <w:b w:val="false"/>
          <w:color w:val="000000"/>
          <w:sz w:val="20"/>
        </w:rPr>
        <w:t>European ORLADEYO business, we entered into the Global Brand and Support Agreement, which provides for coordination of brand and regulatory activities regarding ORLADEYO products. While this agreement is intended to promote alignment on brand and related activities with Neopharmed, we do not have sole control over how ORLADEYO is positioned, supported or communicated in Europe, and we may not be able to maintain global brand uniformity with respect to ORLADEYO. This risk may be heightened given that ORLADEYO is indicated for a rare disease with a limited number of key opinion leaders and relatively few scientific publications or forums that reach a broad global audience. If we are unable to maintain a consistent and effective global brand presence for ORLADEYO, our ability to maximize the anticipated benefits of the sale, support future growth and realize the expected long</w:t>
        <w:noBreakHyphen/>
        <w:t>term value of ORLADEYO could be adversely affected.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Health epidemics or pandemics could materially adversely affect our business, operations, clinical development or commercialization plans and timelines, or that of third parties with whom we conduct business, including, without limitation, our development partners, manufacturers, CROs, and others, as well as the regulatory and government agencies with whom we work.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health epidemic or pandemic, such as the COVID-19 pandemic, and related government orders or responsive business policies and procedures, could cause disruptions to our business, operations, and clinical development or commercialization plans and timelines, as well as the business and operations of third parties with whom we conduct business.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our operations or those of third parties with whom we conduct business, such as development partners, manufacturers, CROs and others, are impaired or curtailed as a result of such events, the development and commercialization of our products and product candidates could be stopped or delayed, or the costs of such development and commercialization activities could increase, any of which could have a material adverse impact on our business. For example, our suppliers or other vendors may be unable to meet their obligations to us or perform their services as expected. In such circumstances, we may not be able to enter into arrangements with alternative suppliers or vendors or do so on commercially reasonable terms or in a timely manner. Such delays could adversely impact our ability to meet our desired clinical development and any commercialization timelines.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our clinical trials were affected by the COVID-19 pandemic, and we may experience similar delays or interruptions due to health epidemics or pandemics in the future, which could adversely impact our clinical trial operations. Health epidemics or pandemics could also affect the operations of regulators and other health and governmental authorities, which could result in delays of reviews and approvals, inspections, or other regulatory activities.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global impact of a health epidemic or pandemic, such as the COVID-19 pandemic, could also materially affect global economies and financial markets, which could reduce our ability to access the equity or debt capital markets or obtain other sources of capital if needed, which could negatively affect our liquidity. In addition, a recession or market correction could materially affect our business and the value of our common stock. Health epidemics or pandemics could also have the effect of heightening many of the other risks described in this report.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business, operations, clinical development or commercialization plans and timelines, and access to capital could be adversely affected by unpredictable and unstable market and economic conditions.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operations, clinical development or commercialization plans and timelines, and access to capital could be adversely affected by unpredictable and unstable market and economic conditions, including as a result of inflation, increased interest rates, disruption or instability in the banking industry, foreign exchange rate fluctuations, U.S. Government shutdowns, instability in connection with changes in the presidential administration in the United States, geopolitical instability, actual or threatened public health emergencies, or outbreaks of disease, epidemics or pandemics (such as the COVID-19 pandemic). The magnitude, duration and long-term effect of each of these factors, as well as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effects of actions taken by governments to address them, are unknown at this time, but they could result in further significant disruption of the global economy and financial markets. Our business may be adversely affected by any related economic downturn, volatile geopolitical and business environment, or continued market instability.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Unstable market and economic conditions could materially affect our ability to access the equity or debt capital markets or obtain other sources of capital if needed in the future, which could negatively affect our liquidity. In addition, a recession or market correction could materially affect our business and the value of our common stock.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Market and economic conditions continue to evolve, with the ultimate impacts being uncertain and subject to change. These effects could be material, and we will continue to monitor the economic climate closely. We do not know the full extent and magnitude of the impacts that any future developments will have on our business, on the healthcare system, or on the global economy. In addition, unstable market conditions could have the effect of heightening many of the other risks described in this report.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Insurance coverage is increasingly more costly and difficult to obtain or maintain.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While we currently have insurance for our business, property, directors and officers, and our products, insurance is increasingly more costly and narrower in scope, and we may be required to assume more risk in the future. If we are subject to claims or suffer a loss or damage in excess of our insurance coverage, we will be required to bear any loss in excess of our insurance limits. If we are subject to claims or suffer a loss or damage that is outside of our insurance coverage, we may incur significant uninsured costs associated with loss or damage that could have an adverse effect on our operations and financial position. Furthermore, any claims made on our insurance policies may impact our ability to obtain or maintain insurance coverage at reasonable costs or at all.</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fail to retain our existing key personnel or fail to attract and retain additional key personnel, the development of our product candidates, the commercialization of our products, and the related growth of our business may be delayed or stopped.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unexpected loss of service of our senior management and scientific team might impede the achievement of our development and commercial objectives. Competition for key personnel with the experience that we require is intense and is expected to continue to increase. Our inability to attract and retain the required number of skilled and experienced management, commercial, operational and scientific personnel may harm our business because we rely upon these personnel for many important functions of our business.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our risk management committee and other compliance methods are not effective, our business, financial condition and operating results may be adversely affected.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ability to identify, manage and respond to the various risks related to our business is largely dependent on our established and maintained compliance, risk, audit and reporting systems and procedures. The Board of Directors has ultimate responsibility for risk oversight of the Company and carries out this duty through its committees. The Board of Directors may delegate oversight authority with respect to certain issues in a committee’s applicable areas of expertise. At the Company level, our senior management team similarly monitors risk through the risk management committee and other sub-committees focused on specific areas of risk (e.g., cybersecurity, quality assurance). Membership of the risk management committee consists primarily of key department heads who are asked to bring to such committee relevant items for discussion that they or their teams have identified at the numerous sub-committees these individuals chair or attend. The risk management committee, along with the other sub-committees in the Company, identifies key risks and mitigation strategies which are reported directly to our senior management, the Audit Committee and to the full Board of Directors on a regular basis.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our policies, procedures, and compliance systems, including our risk management committee, are not effective, or if we are not successful in monitoring or evaluating the risks to which we are or may be exposed, our business, reputation, financial condition and operating results could be materially adversely affected. We cannot provide assurance that our policies and procedures will always be effective, or that our management or the risk management committee would be able to identify any such ineffectiveness. If our compliance and risk management strategies are not effective, our business, financial condition and operating results may be adversely affected.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Future acquisitions, strategic investments, partnerships, alliances, or divestitures could be difficult to identify and integrate, divert the attention of management, disrupt our business, dilute stockholder value, materially change the risk profile of the Company and could fail to meet our expectations, any of which could adversely affect our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anticipate that we will seek to acquire or invest in businesses, products or technologies that we believe could complement or expand our portfolio or otherwise offer growth opportunities. The pursuit of potential acquisitions may divert the attention of management and cause us to incur various expenses in identifying, investigating and pursuing businesses or products. In addition, we may not be able to find and identify desirable acquisition targets or be successful in entering into an agreement with any particular target or consummating any such agreement. Even if we do consummate an acquisition, in connection therewith we may be required to issue equity (thereby diluting our current stockholders) or debt, we may not be able to integrate successfully the acquired personnel, operations and technologies, or effectively manage the combined business following the acquisition, or the acquired business could otherwise fail to meet our expectations, which, in each case, could have a material adverse effect on our business projections, financial condition, results of operations and prospects.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may divest or license all or a portion of certain business or product categories, which could cause a decline in revenue or profitability and may make our financial results more volatile. We may be unable to complete any such divestiture or license on terms favorable to us, within the expected timeframes, or at all, in which case we may not realize any return on our investment in these programs and may incur costs associated with their termination. For example, after evaluating potential partnering opportunities for the continued development of avoralstat, we determined in the quarter ended March 31, 2026 to terminate the avoralstat program to focus the pipeline on rare diseases. We may have continued financial exposure to divested or licensed businesses following the completion of any such transactions, including increased costs due to potential litigation, contingent liabilities and indemnification of the buyer or licensee related to, among other things, lawsuits, regulatory matters or tax liabilities. Such divestitures or licenses may also divert management’s attention from our core businesses and lead to potential issues with employees, customers or suppliers.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business and operations could be negatively affected if we become subject to stockholder activism or hostile bids, which could cause us to incur significant expense, hinder execution of our business strategy and impact our stock price.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Stockholder activism, which takes many forms and arises in a variety of situations, has been increasingly prevalent. Stock price declines may also increase our vulnerability to unsolicited approaches. If we become the subject of certain forms of stockholder activism, such as proxy contests or hostile bids, the attention of our management and our Board of Directors may be diverted from execution of our strategy. Such stockholder activism could give rise to perceived uncertainties as to our future strategy, adversely affect our relationships with business partners and make it more difficult to attract and retain qualified personnel. Also, we may incur substantial costs, including significant legal fees and other expenses, related to activist stockholder matters. Our stock price could be subject to significant fluctuation or otherwise be adversely affected by the events, risks and uncertainties of any stockholder activism.</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Relating to Investing in Our Common Stock</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existing principal stockholders hold a substantial amount of our common stock and may be able to influence significant corporate decisions, which may conflict with the interest of other stockholders.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Some of our stockholders own greater than 5% of our outstanding common stock. Our top ten stockholders own approximately</w:t>
      </w:r>
      <w:r>
        <w:rPr>
          <w:color w:val="000000"/>
          <w:shd w:fill="FFFFFF" w:val="clear"/>
        </w:rPr>
        <w:t xml:space="preserve"> </w:t>
      </w:r>
      <w:r>
        <w:rPr>
          <w:rFonts w:ascii="Times New Roman;serif" w:hAnsi="Times New Roman;serif"/>
          <w:b w:val="false"/>
          <w:color w:val="000000"/>
          <w:sz w:val="20"/>
          <w:shd w:fill="FFFFFF" w:val="clear"/>
        </w:rPr>
        <w:t xml:space="preserve">50% </w:t>
      </w:r>
      <w:r>
        <w:rPr>
          <w:rFonts w:ascii="Times New Roman;serif" w:hAnsi="Times New Roman;serif"/>
          <w:b w:val="false"/>
          <w:color w:val="000000"/>
          <w:sz w:val="20"/>
        </w:rPr>
        <w:t>of our common stock and can individually, and as a group, influence our operations based upon their concentrated ownership and may also be able to influence the outcome of matters requiring approval of the stockholders, including the election of our directors and other corporate actions.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stock price has been, and is likely to continue to be, highly volatile, which could cause the value of an investment in our common stock to decline significantly.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market prices for securities of biotechnology companies in general have been highly volatile and may continue to be highly volatile in the future. Moreover, our stock price has fluctuated frequently, and these fluctuations are often not related to our financial results. For the twelve months ended March 31, 2026, the 52-week range of the market price of our stock was from $6.00 to $11.31 per share. The following factors, in addition to other risk factors described in this section, may have, and in some cases have had, a significant impact on the market price of our common stock:</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announcements of technological innovations or new products by us or our competitors;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developments or disputes concerning patents or proprietary rights;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additional dilution through sales or issuances of our common stock or other derivative securities;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status of new or existing licensing or collaborative agreements and government contracts;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announcements relating to the status of our programs;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us or our partners achieving or failing to achieve development milestones;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publicity regarding actual or potential medical results relating to products under development by us or our competitors;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publicity regarding certain public health concerns for which we are or may be developing treatments;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developments in both the United States and foreign countries;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public concern as to the safety of pharmaceutical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anticipated fluctuations in our operating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financial estimates or recommendations by securities analysts and the comparison of such estimates to our actual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online automated financial platforms’ treatment or classification of our financial information;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our public guidance;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the structure of healthcare payment systems, including developments in price control legislation;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announcements by us or our competitors of significant acquisitions (such as the Merger), strategic partnerships, divestitures (such as the sale of our European ORLADEYO business to Neopharmed), joint ventures, capital commitments or other monetization transactions;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additions or departures of key personnel or members of our Board of Directors;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purchases or sales of substantial amounts of our stock by existing stockholders, including officers or directors;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economic and other external factors or other disasters or crises;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period-to-period fluctuations in our financial results.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This volatility could cause the value of an investment in our common stock to decline significantly. In addition, companies that have experienced volatility in the market price of their stock in the past have been subject to securities class action litigation. Securities litigation, and any other type of litigation, brought against us could result in substantial costs and divert our management’s attention from other business concerns, which could seriously harm our business and adversely affect our 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If we fail to maintain effective internal control over financial reporting, we may not be able to produce accurate and timely financial statements, which may adversely affect investor confidence in us and our financial reporting, adversely affect our business and operating results and negatively impact the trading price of our common stock. </w:t>
      </w:r>
    </w:p>
    <w:p>
      <w:pPr>
        <w:pStyle w:val="TextBody"/>
        <w:bidi w:val="0"/>
        <w:spacing w:lineRule="auto" w:line="288" w:before="200" w:after="283"/>
        <w:ind w:left="0" w:right="0" w:firstLine="540"/>
        <w:jc w:val="left"/>
        <w:rPr/>
      </w:pPr>
      <w:r>
        <w:rPr>
          <w:rFonts w:ascii="Times New Roman;serif" w:hAnsi="Times New Roman;serif"/>
          <w:b w:val="false"/>
          <w:color w:val="000000"/>
          <w:sz w:val="20"/>
        </w:rPr>
        <w:t>As a public company, we are required to maintain effective internal control over financial reporting (as described in “</w:t>
      </w:r>
      <w:r>
        <w:rPr>
          <w:rFonts w:ascii="Times New Roman;serif" w:hAnsi="Times New Roman;serif"/>
          <w:b w:val="false"/>
          <w:i/>
          <w:color w:val="000000"/>
          <w:sz w:val="20"/>
        </w:rPr>
        <w:t>Controls and Procedures</w:t>
      </w:r>
      <w:r>
        <w:rPr>
          <w:color w:val="000000"/>
        </w:rPr>
        <w:t xml:space="preserve">” </w:t>
      </w:r>
      <w:r>
        <w:rPr>
          <w:rFonts w:ascii="Times New Roman;serif" w:hAnsi="Times New Roman;serif"/>
          <w:b w:val="false"/>
          <w:color w:val="000000"/>
          <w:sz w:val="20"/>
        </w:rPr>
        <w:t>in Part I, Item 4 of this report), and effective disclosure controls and procedures. If we identify one or more material weaknesses in our internal control over financial reporting, we will not be able to assert that our internal controls and procedures are effective. A material weakness, as defined in Rule 12b-2 under the Exchange Act, is a deficiency, or combination of deficiencies, in internal control over financial reporting such that there is a reasonable possibility that a material misstatement of annual or interim financial statements will not be prevented or detected on a timely basis. In 2023, we identified and timely reported two material weaknesses in our internal control over financial reporting, which management determined to be subsequently remediated as of December 31, 2023 and September 30, 2024, respectively.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Although we believe the financial statements included in this report fairly present, in all material respects, our financial condition, results of operations and cash flows for the periods presented in conformity with U.S. GAAP, any failure to maintain effective internal control over financial reporting could severely inhibit our ability to accurately report our financial condition, results of operations or cash flows. If our internal control over financial reporting is not effective, investors may lose confidence in the accuracy and completeness of our financial reports, the market price of our common stock could decline, and we could be subject to sanctions or investigations by Nasdaq, the SEC or other regulatory authorities.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Future sales and issuances of securities may dilute the ownership interests of our current stockholders and cause our stock price to decline.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Future sales of our common stock by us or our current stockholders into the public market could cause the market price of our stock to fall. As of March 31, 2026, there were 254,013,534 shares of our common stock outstanding. We may from time to time issue securities in relation to a license arrangement, collaboration, merger or acquisition (such as in connection with the Merger). We may also sell, for our own account, shares of common stock or other equity securities, from time to time at prices and on terms to be determined at the time of sale.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there were 45,763,953 stock options and restricted stock units outstanding and 8,337,137 shares available for issuance under our Amended and Restated Stock Incentive Plan, 5,031,770 stock options and restricted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stock units outstanding and 1,217,177 shares available for issuance under our Amended and Restated Inducement Equity Incentive Plan, and 4,474,985 shares available for issuance under our Amended and Restated Employee Stock Purchase Plan. In addition, we could also make equity grants outside of our Amended and Restated Stock Incentive Plan or Amended and Restated Inducement Equity Incentive Plan. The shares underlying existing stock options, restricted stock units and possible future stock options, stock appreciation rights, restricted stock units and stock awards have been, or will be, registered pursuant to registration statements on Form S-8.</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some or all of such shares are sold or otherwise issued into the public market over a short period of time, our current stockholders’ ownership interests may be diluted and the value of all publicly traded shares is likely to decline, as the market may not be able to absorb those shares at then-current market prices. Additionally, such sales and issuances may make it more difficult for us to sell equity securities or equity-related securities in the future at a time and price that our management deems acceptable, or at all.</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have anti-takeover provisions in our corporate charter documents that may result in outcomes with which you do not agree.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Board of Directors has the authority to issue up to 5,000,000 shares of undesignated preferred stock and to determine the rights, preferences, privileges and restrictions of those shares without further vote or action by our stockholders. The rights of the holders of any preferred stock that may be issued in the future may adversely affect the rights of the holders of common stock. The issuance of preferred stock could make it more difficult for third parties to acquire a majority of our outstanding voting stock.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our Certificate of Incorporation provides for staggered terms for the members of the Board of Directors and supermajority approval of the removal of any member of the Board of Directors and prevents our stockholders from acting by written consent. Our Certificate of Incorporation also requires supermajority approval of any amendment of these provisions. These provisions and other provisions of our Amended and Restated By-Laws and of Delaware law applicable to us could delay or make more difficult a merger, tender offer or proxy contest involving us.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have never paid dividends on our common stock and do not anticipate doing so in the foreseeable future.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never paid cash dividends on our stock. We currently intend to retain all future earnings, if any, for use in the operation of our business. Accordingly, we do not anticipate paying cash dividends on our common stock in the foreseeable future.</w:t>
      </w:r>
    </w:p>
    <w:p>
      <w:pPr>
        <w:pStyle w:val="TextBody"/>
        <w:bidi w:val="0"/>
        <w:spacing w:lineRule="auto" w:line="288" w:before="200" w:after="283"/>
        <w:jc w:val="left"/>
        <w:rPr/>
      </w:pPr>
      <w:r>
        <w:rPr>
          <w:rFonts w:ascii="Times New Roman;serif" w:hAnsi="Times New Roman;serif"/>
          <w:b/>
          <w:i/>
          <w:color w:val="000000"/>
          <w:sz w:val="20"/>
        </w:rPr>
        <w:t>Our Amended and Restated By-Laws provide that the Court of Chancery of the State of Delaware will be the sole and exclusive forum for certain litigation that may be initiated by our stockholders, which may limit a stockholder</w:t>
      </w:r>
      <w:r>
        <w:rPr>
          <w:color w:val="000000"/>
        </w:rPr>
        <w:t>’</w:t>
      </w:r>
      <w:r>
        <w:rPr>
          <w:rFonts w:ascii="Times New Roman;serif" w:hAnsi="Times New Roman;serif"/>
          <w:b/>
          <w:i/>
          <w:color w:val="000000"/>
          <w:sz w:val="20"/>
        </w:rPr>
        <w:t>s ability to obtain a favorable judicial forum for such disputes with us or our directors, officers or employees.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Amended and Restated By-Laws provide that,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stockholders, employees or agents to us or our stockholders, (iii) any action asserting a claim against us or any of our directors, officers, stockholders, employees or agents arising out of or relating to any provision of the General Corporation Law of Delaware or our Certificate of Incorporation or Amended and Restated By-Laws, or (iv) any action against us or any of our directors, officers, stockholders, employees or agents governed by the internal affairs doctrine of the State of Delaware. This exclusive forum provision does not apply to establish the Delaware Court of Chancery as the forum for actions or proceedings brought to enforce a duty or liability created by the Securities Act of 1933, as amended, or the Exchange Act, or any other claim for which the federal courts have exclusive jurisdiction.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This exclusive forum provision may limit a stockholder’s ability to choose its preferred judicial forum for disputes with us or our directors, officers, employees or agents, which may discourage the filing of lawsuits with respect to such claims. If a court were to find this exclusive forum provision to be inapplicable or unenforceable in an action, we may incur additional costs associated with resolving such action in another jurisdiction, which could adversely affect our business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Natural disasters, epidemic or pandemic disease outbreaks, trade wars, armed conflicts, political unrest or other events could disrupt our business or operations or those of our development partners, manufacturers, regulators or other third parties with whom we conduct business now or in the future.</w:t>
      </w:r>
    </w:p>
    <w:p>
      <w:pPr>
        <w:pStyle w:val="TextBody"/>
        <w:bidi w:val="0"/>
        <w:spacing w:lineRule="auto" w:line="288" w:before="200" w:after="283"/>
        <w:ind w:left="0" w:right="0" w:firstLine="540"/>
        <w:jc w:val="left"/>
        <w:rPr/>
      </w:pPr>
      <w:r>
        <w:rPr>
          <w:rFonts w:ascii="Times New Roman;serif" w:hAnsi="Times New Roman;serif"/>
          <w:b w:val="false"/>
          <w:color w:val="000000"/>
          <w:sz w:val="20"/>
        </w:rPr>
        <w:t>A wide variety of events beyond our control, such as natural disasters (including as a result of climate change), epidemic or pandemic disease outbreaks (such as the COVID-19 pandemic), trade wars, armed conflict, political unrest, government shutdowns, instability in connection with changes in the presidential administration in the United States, or other events could disrupt our business or operations or those of our development partners, manufacturers, regulatory authorities, or other third parties with whom we conduct business. These events may cause businesses and government agencies to be shut down, supply chains or trade to be interrupted, slowed, or rendered inoperable, and individuals to become ill, quarantined, or otherwise unable to work and/or travel due to health reasons or governmental restrictions. If our operations or those of third parties with whom we conduct business are impaired or curtailed as a result of these events, the development and commercialization of our products and product candidates could be impaired or halted, which could have a material adverse impact on our business. See, for example, “</w:t>
      </w:r>
      <w:r>
        <w:rPr>
          <w:rFonts w:ascii="Times New Roman;serif" w:hAnsi="Times New Roman;serif"/>
          <w:b w:val="false"/>
          <w:i/>
          <w:color w:val="000000"/>
          <w:sz w:val="20"/>
        </w:rPr>
        <w:t>Risk Factors—Risks Relating to Our Business—Other Operational Risks—Our business, operations, clinical development or commercialization plans and timelines, and access to capital could be adversely affected by unpredictable and unstable market and economic conditions</w:t>
      </w:r>
      <w:r>
        <w:rPr>
          <w:rFonts w:ascii="Times New Roman;serif" w:hAnsi="Times New Roman;serif"/>
          <w:b w:val="false"/>
          <w:color w:val="000000"/>
          <w:sz w:val="20"/>
        </w:rPr>
        <w:t>.” In addition, other events, such as the Ukraine-Russia and Middle East conflicts, or rising tensions between China and Taiwan, could adversely impact our business. For example, the conflicts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are subject to legal proceedings, which could harm our reputation or result in other losses or unexpected expenditure of time and resources.</w:t>
      </w:r>
    </w:p>
    <w:p>
      <w:pPr>
        <w:pStyle w:val="TextBody"/>
        <w:bidi w:val="0"/>
        <w:spacing w:lineRule="auto" w:line="288" w:before="20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involved in disputes, including, without limitation, disputes with our employees, collaborative partners, and third-party vendors. We may be called upon to initiate legal proceedings or to defend ourselves in such legal proceedings relating to our relationships with these parties, our decisions and actions or omissions with respect thereto, and our business. In addition, if our stock price is volatile, we may become involved in securities class action lawsuits in the future. Due to the inherent uncertainties in legal proceedings, we cannot accurately predict the ultimate outcome of any such proceeding. An unfavorable outcome in any such proceeding could have an adverse impact on our business, financial condition and results of operations. Any current or future dispute resolution or legal proceeding, regardless of the merits of any such proceeding, could harm our reputation and result in substantial costs and a diversion of management’s attention and resources that are needed to successfully run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Director and Officer Trading Arrangements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two of the directors and officers of the Company adopted, modified or terminated the “Rule 10b5-1 trading arrangements” (as such term is defined in Item 408(a) of Regulation S-K) as set forth in the table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26"/>
        <w:gridCol w:w="550"/>
        <w:gridCol w:w="503"/>
        <w:gridCol w:w="109"/>
        <w:gridCol w:w="109"/>
        <w:gridCol w:w="109"/>
        <w:gridCol w:w="294"/>
        <w:gridCol w:w="294"/>
        <w:gridCol w:w="298"/>
        <w:gridCol w:w="109"/>
        <w:gridCol w:w="109"/>
        <w:gridCol w:w="109"/>
        <w:gridCol w:w="289"/>
        <w:gridCol w:w="289"/>
        <w:gridCol w:w="290"/>
        <w:gridCol w:w="109"/>
        <w:gridCol w:w="109"/>
        <w:gridCol w:w="109"/>
        <w:gridCol w:w="1278"/>
        <w:gridCol w:w="1278"/>
        <w:gridCol w:w="1281"/>
        <w:gridCol w:w="109"/>
        <w:gridCol w:w="109"/>
        <w:gridCol w:w="109"/>
        <w:gridCol w:w="474"/>
        <w:gridCol w:w="474"/>
        <w:gridCol w:w="679"/>
      </w:tblGrid>
      <w:tr>
        <w:trPr/>
        <w:tc>
          <w:tcPr>
            <w:tcW w:w="62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Name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Date of 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Duration of Trading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Aggregate Number of Securities</w:t>
            </w:r>
          </w:p>
        </w:tc>
      </w:tr>
      <w:tr>
        <w:trPr/>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Ron Dullinger,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Commercial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Until February 26, 2027, or such earlier date upon which all transactions are completed or the plan is terminated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Jon Stonehouse, </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Member of the Board of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March 3,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Until December 31, 2027, or such earlier date upon which all transactions are completed or the plan is terminated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c>
      </w:tr>
    </w:tbl>
    <w:p>
      <w:pPr>
        <w:pStyle w:val="TextBody"/>
        <w:bidi w:val="0"/>
        <w:spacing w:before="200" w:after="283"/>
        <w:ind w:left="0" w:right="0" w:firstLine="5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This trading plan provides for the sale of up to (i) 151,868 shares of common stock underlying stock options and (ii) 64,738 shares of common stock underlying restricted stock units, net of shares withheld to cover taxes.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 This trading plan provides for the sale of up to 800,000 shares of common stock underlying stock options expiring in 2027.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2883"/>
        <w:gridCol w:w="2682"/>
        <w:gridCol w:w="3829"/>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Number</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Third Restated Certificate of Incorporation of Registrant. Incorporated by reference to Exhibit 3.1 to the Company’s Form 8-K filed December 22, 2006.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Certificate of Amendment to the Third Restated Certificate of Incorporation of Registrant. Incorporated by reference to Exhibit 3.1 to the Company’s Form 8-K filed July 24, 2007.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Certificate of Amendment to the Third Restated Certificate of Incorporation of Registrant. Incorporated by reference to Exhibit 3.1 to the Company’s Form 8-K filed May 7, 2014.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80"/>
                  <w:sz w:val="20"/>
                  <w:u w:val="single"/>
                </w:rPr>
                <w:t>Certificate of Elimination of the Series B Junior Participating Preferred Stock. Incorporated by reference to Exhibit 3.1 to the Company’s Form 8-K filed May 13, 202</w:t>
              </w:r>
            </w:hyperlink>
            <w:hyperlink r:id="rId6">
              <w:r>
                <w:rPr>
                  <w:rStyle w:val="InternetLink"/>
                  <w:rFonts w:ascii="Times New Roman;serif" w:hAnsi="Times New Roman;serif"/>
                  <w:b w:val="false"/>
                  <w:color w:val="000080"/>
                  <w:sz w:val="20"/>
                  <w:u w:val="single"/>
                </w:rPr>
                <w:t>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Certificate of Amendment to the Third Restated Certificate of Incorporation of Registrant. Incorporated by reference to Exhibit 3.2 to the Company’s Form 8-K filed May 13, 2020.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20"/>
                  <w:u w:val="single"/>
                </w:rPr>
                <w:t>Amended and Restated By-Laws of BioCryst Pharmaceuticals, Inc., effective January 16, 2024. Incorporated by reference to Exhibit 3.1 to the Company’s Form 8-K filed January 18, 2024.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10.1&amp;</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80"/>
                  <w:sz w:val="20"/>
                  <w:u w:val="single"/>
                </w:rPr>
                <w:t>Employment Agreement, effective J</w:t>
              </w:r>
            </w:hyperlink>
            <w:hyperlink r:id="rId10">
              <w:r>
                <w:rPr>
                  <w:rStyle w:val="InternetLink"/>
                  <w:rFonts w:ascii="Times New Roman;serif" w:hAnsi="Times New Roman;serif"/>
                  <w:b w:val="false"/>
                  <w:color w:val="000080"/>
                  <w:sz w:val="20"/>
                  <w:u w:val="single"/>
                </w:rPr>
                <w:t>anuary 1</w:t>
              </w:r>
            </w:hyperlink>
            <w:hyperlink r:id="rId11">
              <w:r>
                <w:rPr>
                  <w:rStyle w:val="InternetLink"/>
                  <w:rFonts w:ascii="Times New Roman;serif" w:hAnsi="Times New Roman;serif"/>
                  <w:b w:val="false"/>
                  <w:color w:val="000080"/>
                  <w:sz w:val="20"/>
                  <w:u w:val="single"/>
                </w:rPr>
                <w:t>, 202</w:t>
              </w:r>
            </w:hyperlink>
            <w:hyperlink r:id="rId12">
              <w:r>
                <w:rPr>
                  <w:rStyle w:val="InternetLink"/>
                  <w:rFonts w:ascii="Times New Roman;serif" w:hAnsi="Times New Roman;serif"/>
                  <w:b w:val="false"/>
                  <w:color w:val="000080"/>
                  <w:sz w:val="20"/>
                  <w:u w:val="single"/>
                </w:rPr>
                <w:t>6</w:t>
              </w:r>
            </w:hyperlink>
            <w:hyperlink r:id="rId13">
              <w:r>
                <w:rPr>
                  <w:rStyle w:val="InternetLink"/>
                  <w:rFonts w:ascii="Times New Roman;serif" w:hAnsi="Times New Roman;serif"/>
                  <w:b w:val="false"/>
                  <w:color w:val="000080"/>
                  <w:sz w:val="20"/>
                  <w:u w:val="single"/>
                </w:rPr>
                <w:t xml:space="preserve">, by and between BioCryst Pharmaceuticals, Inc. and </w:t>
              </w:r>
            </w:hyperlink>
            <w:hyperlink r:id="rId14">
              <w:r>
                <w:rPr>
                  <w:rStyle w:val="InternetLink"/>
                  <w:rFonts w:ascii="Times New Roman;serif" w:hAnsi="Times New Roman;serif"/>
                  <w:b w:val="false"/>
                  <w:color w:val="000080"/>
                  <w:sz w:val="20"/>
                  <w:u w:val="single"/>
                </w:rPr>
                <w:t>Charle</w:t>
              </w:r>
            </w:hyperlink>
            <w:hyperlink r:id="rId15">
              <w:r>
                <w:rPr>
                  <w:rStyle w:val="InternetLink"/>
                  <w:rFonts w:ascii="Times New Roman;serif" w:hAnsi="Times New Roman;serif"/>
                  <w:b w:val="false"/>
                  <w:color w:val="000080"/>
                  <w:sz w:val="20"/>
                  <w:u w:val="single"/>
                </w:rPr>
                <w:t>s Gayer</w:t>
              </w:r>
            </w:hyperlink>
            <w:hyperlink r:id="rId16">
              <w:r>
                <w:rPr>
                  <w:rStyle w:val="InternetLink"/>
                  <w:rFonts w:ascii="Times New Roman;serif" w:hAnsi="Times New Roman;serif"/>
                  <w:b w:val="false"/>
                  <w:color w:val="000080"/>
                  <w:sz w:val="20"/>
                  <w:u w:val="single"/>
                </w:rPr>
                <w:t>. Incorporated by reference to Exhibit 10.3</w:t>
              </w:r>
            </w:hyperlink>
            <w:hyperlink r:id="rId17">
              <w:r>
                <w:rPr>
                  <w:rStyle w:val="InternetLink"/>
                  <w:rFonts w:ascii="Times New Roman;serif" w:hAnsi="Times New Roman;serif"/>
                  <w:b w:val="false"/>
                  <w:color w:val="000080"/>
                  <w:sz w:val="20"/>
                  <w:u w:val="single"/>
                </w:rPr>
                <w:t>4</w:t>
              </w:r>
            </w:hyperlink>
            <w:hyperlink r:id="rId18">
              <w:r>
                <w:rPr>
                  <w:rStyle w:val="InternetLink"/>
                  <w:rFonts w:ascii="Times New Roman;serif" w:hAnsi="Times New Roman;serif"/>
                  <w:b w:val="false"/>
                  <w:color w:val="000080"/>
                  <w:sz w:val="20"/>
                  <w:u w:val="single"/>
                </w:rPr>
                <w:t xml:space="preserve"> to the Company’s Form 10-</w:t>
              </w:r>
            </w:hyperlink>
            <w:hyperlink r:id="rId19">
              <w:r>
                <w:rPr>
                  <w:rStyle w:val="InternetLink"/>
                  <w:rFonts w:ascii="Times New Roman;serif" w:hAnsi="Times New Roman;serif"/>
                  <w:b w:val="false"/>
                  <w:color w:val="000080"/>
                  <w:sz w:val="20"/>
                  <w:u w:val="single"/>
                </w:rPr>
                <w:t>K</w:t>
              </w:r>
            </w:hyperlink>
            <w:hyperlink r:id="rId20">
              <w:r>
                <w:rPr>
                  <w:rStyle w:val="InternetLink"/>
                  <w:rFonts w:ascii="Times New Roman;serif" w:hAnsi="Times New Roman;serif"/>
                  <w:b w:val="false"/>
                  <w:color w:val="000080"/>
                  <w:sz w:val="20"/>
                  <w:u w:val="single"/>
                </w:rPr>
                <w:t xml:space="preserve"> filed </w:t>
              </w:r>
            </w:hyperlink>
            <w:hyperlink r:id="rId21">
              <w:r>
                <w:rPr>
                  <w:rStyle w:val="InternetLink"/>
                  <w:rFonts w:ascii="Times New Roman;serif" w:hAnsi="Times New Roman;serif"/>
                  <w:b w:val="false"/>
                  <w:color w:val="000080"/>
                  <w:sz w:val="20"/>
                  <w:u w:val="single"/>
                </w:rPr>
                <w:t>February 26</w:t>
              </w:r>
            </w:hyperlink>
            <w:hyperlink r:id="rId22">
              <w:r>
                <w:rPr>
                  <w:rStyle w:val="InternetLink"/>
                  <w:rFonts w:ascii="Times New Roman;serif" w:hAnsi="Times New Roman;serif"/>
                  <w:b w:val="false"/>
                  <w:color w:val="000080"/>
                  <w:sz w:val="20"/>
                  <w:u w:val="single"/>
                </w:rPr>
                <w:t>, 202</w:t>
              </w:r>
            </w:hyperlink>
            <w:hyperlink r:id="rId23">
              <w:r>
                <w:rPr>
                  <w:rStyle w:val="InternetLink"/>
                  <w:rFonts w:ascii="Times New Roman;serif" w:hAnsi="Times New Roman;serif"/>
                  <w:b w:val="false"/>
                  <w:color w:val="000080"/>
                  <w:sz w:val="20"/>
                  <w:u w:val="single"/>
                </w:rPr>
                <w:t>6</w:t>
              </w:r>
            </w:hyperlink>
            <w:hyperlink r:id="rId24">
              <w:r>
                <w:rPr>
                  <w:rStyle w:val="InternetLink"/>
                  <w:rFonts w:ascii="Times New Roman;serif" w:hAnsi="Times New Roman;serif"/>
                  <w:b w:val="false"/>
                  <w:color w:val="000080"/>
                  <w:sz w:val="20"/>
                  <w:u w:val="single"/>
                </w:rPr>
                <w:t>.</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10.2&amp;</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erif" w:hAnsi="Times New Roman;serif"/>
                  <w:b w:val="false"/>
                  <w:color w:val="000080"/>
                  <w:sz w:val="20"/>
                  <w:u w:val="single"/>
                </w:rPr>
                <w:t xml:space="preserve">Employment Agreement, effective </w:t>
              </w:r>
            </w:hyperlink>
            <w:hyperlink r:id="rId26">
              <w:r>
                <w:rPr>
                  <w:rStyle w:val="InternetLink"/>
                  <w:rFonts w:ascii="Times New Roman;serif" w:hAnsi="Times New Roman;serif"/>
                  <w:b w:val="false"/>
                  <w:color w:val="000080"/>
                  <w:sz w:val="20"/>
                  <w:u w:val="single"/>
                </w:rPr>
                <w:t>January 1</w:t>
              </w:r>
            </w:hyperlink>
            <w:hyperlink r:id="rId27">
              <w:r>
                <w:rPr>
                  <w:rStyle w:val="InternetLink"/>
                  <w:rFonts w:ascii="Times New Roman;serif" w:hAnsi="Times New Roman;serif"/>
                  <w:b w:val="false"/>
                  <w:color w:val="000080"/>
                  <w:sz w:val="20"/>
                  <w:u w:val="single"/>
                </w:rPr>
                <w:t>, 202</w:t>
              </w:r>
            </w:hyperlink>
            <w:hyperlink r:id="rId28">
              <w:r>
                <w:rPr>
                  <w:rStyle w:val="InternetLink"/>
                  <w:rFonts w:ascii="Times New Roman;serif" w:hAnsi="Times New Roman;serif"/>
                  <w:b w:val="false"/>
                  <w:color w:val="000080"/>
                  <w:sz w:val="20"/>
                  <w:u w:val="single"/>
                </w:rPr>
                <w:t>6</w:t>
              </w:r>
            </w:hyperlink>
            <w:hyperlink r:id="rId29">
              <w:r>
                <w:rPr>
                  <w:rStyle w:val="InternetLink"/>
                  <w:rFonts w:ascii="Times New Roman;serif" w:hAnsi="Times New Roman;serif"/>
                  <w:b w:val="false"/>
                  <w:color w:val="000080"/>
                  <w:sz w:val="20"/>
                  <w:u w:val="single"/>
                </w:rPr>
                <w:t xml:space="preserve">, by and between BioCryst Pharmaceuticals, Inc. and </w:t>
              </w:r>
            </w:hyperlink>
            <w:hyperlink r:id="rId30">
              <w:r>
                <w:rPr>
                  <w:rStyle w:val="InternetLink"/>
                  <w:rFonts w:ascii="Times New Roman;serif" w:hAnsi="Times New Roman;serif"/>
                  <w:b w:val="false"/>
                  <w:color w:val="000080"/>
                  <w:sz w:val="20"/>
                  <w:u w:val="single"/>
                </w:rPr>
                <w:t>Ron Dullinger</w:t>
              </w:r>
            </w:hyperlink>
            <w:hyperlink r:id="rId31">
              <w:r>
                <w:rPr>
                  <w:rStyle w:val="InternetLink"/>
                  <w:rFonts w:ascii="Times New Roman;serif" w:hAnsi="Times New Roman;serif"/>
                  <w:b w:val="false"/>
                  <w:color w:val="000080"/>
                  <w:sz w:val="20"/>
                  <w:u w:val="single"/>
                </w:rPr>
                <w:t>. Incorporated by reference to Exhibit 10.</w:t>
              </w:r>
            </w:hyperlink>
            <w:hyperlink r:id="rId32">
              <w:r>
                <w:rPr>
                  <w:rStyle w:val="InternetLink"/>
                  <w:rFonts w:ascii="Times New Roman;serif" w:hAnsi="Times New Roman;serif"/>
                  <w:b w:val="false"/>
                  <w:color w:val="000080"/>
                  <w:sz w:val="20"/>
                  <w:u w:val="single"/>
                </w:rPr>
                <w:t>39</w:t>
              </w:r>
            </w:hyperlink>
            <w:hyperlink r:id="rId33">
              <w:r>
                <w:rPr>
                  <w:rStyle w:val="InternetLink"/>
                  <w:rFonts w:ascii="Times New Roman;serif" w:hAnsi="Times New Roman;serif"/>
                  <w:b w:val="false"/>
                  <w:color w:val="000080"/>
                  <w:sz w:val="20"/>
                  <w:u w:val="single"/>
                </w:rPr>
                <w:t xml:space="preserve"> to the Company’s Form 10-</w:t>
              </w:r>
            </w:hyperlink>
            <w:hyperlink r:id="rId34">
              <w:r>
                <w:rPr>
                  <w:rStyle w:val="InternetLink"/>
                  <w:rFonts w:ascii="Times New Roman;serif" w:hAnsi="Times New Roman;serif"/>
                  <w:b w:val="false"/>
                  <w:color w:val="000080"/>
                  <w:sz w:val="20"/>
                  <w:u w:val="single"/>
                </w:rPr>
                <w:t>K</w:t>
              </w:r>
            </w:hyperlink>
            <w:hyperlink r:id="rId35">
              <w:r>
                <w:rPr>
                  <w:rStyle w:val="InternetLink"/>
                  <w:rFonts w:ascii="Times New Roman;serif" w:hAnsi="Times New Roman;serif"/>
                  <w:b w:val="false"/>
                  <w:color w:val="000080"/>
                  <w:sz w:val="20"/>
                  <w:u w:val="single"/>
                </w:rPr>
                <w:t xml:space="preserve"> filed </w:t>
              </w:r>
            </w:hyperlink>
            <w:hyperlink r:id="rId36">
              <w:r>
                <w:rPr>
                  <w:rStyle w:val="InternetLink"/>
                  <w:rFonts w:ascii="Times New Roman;serif" w:hAnsi="Times New Roman;serif"/>
                  <w:b w:val="false"/>
                  <w:color w:val="000080"/>
                  <w:sz w:val="20"/>
                  <w:u w:val="single"/>
                </w:rPr>
                <w:t>February 26</w:t>
              </w:r>
            </w:hyperlink>
            <w:hyperlink r:id="rId37">
              <w:r>
                <w:rPr>
                  <w:rStyle w:val="InternetLink"/>
                  <w:rFonts w:ascii="Times New Roman;serif" w:hAnsi="Times New Roman;serif"/>
                  <w:b w:val="false"/>
                  <w:color w:val="000080"/>
                  <w:sz w:val="20"/>
                  <w:u w:val="single"/>
                </w:rPr>
                <w:t>, 202</w:t>
              </w:r>
            </w:hyperlink>
            <w:hyperlink r:id="rId38">
              <w:r>
                <w:rPr>
                  <w:rStyle w:val="InternetLink"/>
                  <w:rFonts w:ascii="Times New Roman;serif" w:hAnsi="Times New Roman;serif"/>
                  <w:b w:val="false"/>
                  <w:color w:val="000080"/>
                  <w:sz w:val="20"/>
                  <w:u w:val="single"/>
                </w:rPr>
                <w:t>6</w:t>
              </w:r>
            </w:hyperlink>
            <w:hyperlink r:id="rId39">
              <w:r>
                <w:rPr>
                  <w:rStyle w:val="InternetLink"/>
                  <w:rFonts w:ascii="Times New Roman;serif" w:hAnsi="Times New Roman;serif"/>
                  <w:b w:val="false"/>
                  <w:color w:val="000080"/>
                  <w:sz w:val="20"/>
                  <w:u w:val="single"/>
                </w:rPr>
                <w:t>.</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(10.3&amp;)</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3-finalsmenonempl.htm">
              <w:r>
                <w:rPr>
                  <w:rStyle w:val="InternetLink"/>
                  <w:rFonts w:ascii="Times New Roman;serif" w:hAnsi="Times New Roman;serif"/>
                  <w:b w:val="false"/>
                  <w:color w:val="000080"/>
                  <w:sz w:val="20"/>
                  <w:u w:val="single"/>
                </w:rPr>
                <w:t xml:space="preserve">Employment Agreement, effective </w:t>
              </w:r>
            </w:hyperlink>
            <w:hyperlink w:anchor="exhibit103-finalsmenonempl.htm">
              <w:r>
                <w:rPr>
                  <w:rStyle w:val="InternetLink"/>
                  <w:rFonts w:ascii="Times New Roman;serif" w:hAnsi="Times New Roman;serif"/>
                  <w:b w:val="false"/>
                  <w:color w:val="000080"/>
                  <w:sz w:val="20"/>
                  <w:u w:val="single"/>
                </w:rPr>
                <w:t>April 6</w:t>
              </w:r>
            </w:hyperlink>
            <w:hyperlink w:anchor="exhibit103-finalsmenonempl.htm">
              <w:r>
                <w:rPr>
                  <w:rStyle w:val="InternetLink"/>
                  <w:rFonts w:ascii="Times New Roman;serif" w:hAnsi="Times New Roman;serif"/>
                  <w:b w:val="false"/>
                  <w:color w:val="000080"/>
                  <w:sz w:val="20"/>
                  <w:u w:val="single"/>
                </w:rPr>
                <w:t xml:space="preserve">, 2026, by and between BioCryst Pharmaceuticals, Inc. and </w:t>
              </w:r>
            </w:hyperlink>
            <w:hyperlink w:anchor="exhibit103-finalsmenonempl.htm">
              <w:r>
                <w:rPr>
                  <w:rStyle w:val="InternetLink"/>
                  <w:rFonts w:ascii="Times New Roman;serif" w:hAnsi="Times New Roman;serif"/>
                  <w:b w:val="false"/>
                  <w:color w:val="000080"/>
                  <w:sz w:val="20"/>
                  <w:u w:val="single"/>
                </w:rPr>
                <w:t>Sandeep Menon</w:t>
              </w:r>
            </w:hyperlink>
            <w:hyperlink w:anchor="exhibit103-finalsmenonempl.htm">
              <w:r>
                <w:rPr>
                  <w:rStyle w:val="InternetLink"/>
                  <w:rFonts w:ascii="Times New Roman;serif" w:hAnsi="Times New Roman;serif"/>
                  <w:b w:val="false"/>
                  <w:color w:val="000080"/>
                  <w:sz w:val="20"/>
                  <w:u w:val="single"/>
                </w:rPr>
                <w:t>.</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0">
              <w:r>
                <w:rPr>
                  <w:rStyle w:val="InternetLink"/>
                  <w:rFonts w:ascii="Times New Roman;serif" w:hAnsi="Times New Roman;serif"/>
                  <w:b w:val="false"/>
                  <w:color w:val="000080"/>
                  <w:sz w:val="20"/>
                  <w:u w:val="single"/>
                  <w:shd w:fill="FFFFFF" w:val="clear"/>
                </w:rPr>
                <w:t>Loan Agreement, dated as of January 23, 2026, by and among BioCryst Pharmaceuticals, Inc., as borrower, the guarantors from time to time party thereto, Blackstone Alternative Credit Advisors LP and Blackstone Life Sciences Advisors L.L.C., as the Blackstone representatives thereunder, the lenders from time to time party thereto and Wilmington Trust, National Association, as agent.</w:t>
              </w:r>
            </w:hyperlink>
            <w:hyperlink r:id="rId41">
              <w:r>
                <w:rPr>
                  <w:rStyle w:val="InternetLink"/>
                  <w:rFonts w:ascii="Times New Roman;serif" w:hAnsi="Times New Roman;serif"/>
                  <w:b w:val="false"/>
                  <w:color w:val="000080"/>
                  <w:sz w:val="20"/>
                  <w:u w:val="single"/>
                  <w:shd w:fill="FFFFFF" w:val="clear"/>
                </w:rPr>
                <w:t xml:space="preserve"> Incorporated by reference to Exhibit 10.55 to the Company</w:t>
              </w:r>
            </w:hyperlink>
            <w:hyperlink r:id="rId42">
              <w:r>
                <w:rPr>
                  <w:rStyle w:val="InternetLink"/>
                  <w:rFonts w:ascii="Times New Roman;serif" w:hAnsi="Times New Roman;serif"/>
                  <w:b w:val="false"/>
                  <w:color w:val="000080"/>
                  <w:sz w:val="20"/>
                  <w:u w:val="single"/>
                  <w:shd w:fill="FFFFFF" w:val="clear"/>
                </w:rPr>
                <w:t>’</w:t>
              </w:r>
            </w:hyperlink>
            <w:hyperlink r:id="rId43">
              <w:r>
                <w:rPr>
                  <w:rStyle w:val="InternetLink"/>
                  <w:rFonts w:ascii="Times New Roman;serif" w:hAnsi="Times New Roman;serif"/>
                  <w:b w:val="false"/>
                  <w:color w:val="000080"/>
                  <w:sz w:val="20"/>
                  <w:u w:val="single"/>
                  <w:shd w:fill="FFFFFF" w:val="clear"/>
                </w:rPr>
                <w:t>s Form 10-K filed February 26, 2026.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4">
              <w:r>
                <w:rPr>
                  <w:rStyle w:val="InternetLink"/>
                  <w:rFonts w:ascii="Times New Roman;serif" w:hAnsi="Times New Roman;serif"/>
                  <w:b w:val="false"/>
                  <w:color w:val="000080"/>
                  <w:sz w:val="20"/>
                  <w:u w:val="single"/>
                  <w:shd w:fill="FFFFFF" w:val="clear"/>
                </w:rPr>
                <w:t>Joinder Agreement, dated as of January 23, 2026, by and between Astria Therapeutics, Inc. and Wilmington Trust, National Association.</w:t>
              </w:r>
            </w:hyperlink>
            <w:hyperlink r:id="rId45">
              <w:r>
                <w:rPr>
                  <w:rStyle w:val="InternetLink"/>
                  <w:rFonts w:ascii="Times New Roman;serif" w:hAnsi="Times New Roman;serif"/>
                  <w:b w:val="false"/>
                  <w:color w:val="000080"/>
                  <w:sz w:val="20"/>
                  <w:u w:val="single"/>
                  <w:shd w:fill="FFFFFF" w:val="clear"/>
                </w:rPr>
                <w:t xml:space="preserve"> </w:t>
              </w:r>
            </w:hyperlink>
            <w:hyperlink r:id="rId46">
              <w:r>
                <w:rPr>
                  <w:rStyle w:val="InternetLink"/>
                  <w:rFonts w:ascii="Times New Roman;serif" w:hAnsi="Times New Roman;serif"/>
                  <w:b w:val="false"/>
                  <w:color w:val="000080"/>
                  <w:sz w:val="20"/>
                  <w:u w:val="single"/>
                  <w:shd w:fill="FFFFFF" w:val="clear"/>
                </w:rPr>
                <w:t>Incorporated by reference to Exhibit 10.5</w:t>
              </w:r>
            </w:hyperlink>
            <w:hyperlink r:id="rId47">
              <w:r>
                <w:rPr>
                  <w:rStyle w:val="InternetLink"/>
                  <w:rFonts w:ascii="Times New Roman;serif" w:hAnsi="Times New Roman;serif"/>
                  <w:b w:val="false"/>
                  <w:color w:val="000080"/>
                  <w:sz w:val="20"/>
                  <w:u w:val="single"/>
                  <w:shd w:fill="FFFFFF" w:val="clear"/>
                </w:rPr>
                <w:t>6</w:t>
              </w:r>
            </w:hyperlink>
            <w:hyperlink r:id="rId48">
              <w:r>
                <w:rPr>
                  <w:rStyle w:val="InternetLink"/>
                  <w:rFonts w:ascii="Times New Roman;serif" w:hAnsi="Times New Roman;serif"/>
                  <w:b w:val="false"/>
                  <w:color w:val="000080"/>
                  <w:sz w:val="20"/>
                  <w:u w:val="single"/>
                  <w:shd w:fill="FFFFFF" w:val="clear"/>
                </w:rPr>
                <w:t xml:space="preserve"> to the Company’s Form 10-K filed February 26, 2026.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9">
              <w:r>
                <w:rPr>
                  <w:rStyle w:val="InternetLink"/>
                  <w:rFonts w:ascii="Times New Roman;serif" w:hAnsi="Times New Roman;serif"/>
                  <w:b w:val="false"/>
                  <w:color w:val="000080"/>
                  <w:sz w:val="20"/>
                  <w:u w:val="single"/>
                </w:rPr>
                <w:t>Joinder Agreement, dated as of January 23, 2026, by and between Astria Securities Corporation and Wilmington Trust, National Association.</w:t>
              </w:r>
            </w:hyperlink>
            <w:hyperlink r:id="rId50">
              <w:r>
                <w:rPr>
                  <w:rStyle w:val="InternetLink"/>
                  <w:rFonts w:ascii="Times New Roman;serif" w:hAnsi="Times New Roman;serif"/>
                  <w:b w:val="false"/>
                  <w:color w:val="000080"/>
                  <w:sz w:val="20"/>
                  <w:u w:val="single"/>
                </w:rPr>
                <w:t xml:space="preserve"> </w:t>
              </w:r>
            </w:hyperlink>
            <w:hyperlink r:id="rId51">
              <w:r>
                <w:rPr>
                  <w:rStyle w:val="InternetLink"/>
                  <w:rFonts w:ascii="Times New Roman;serif" w:hAnsi="Times New Roman;serif"/>
                  <w:b w:val="false"/>
                  <w:color w:val="000080"/>
                  <w:sz w:val="20"/>
                  <w:u w:val="single"/>
                </w:rPr>
                <w:t>Incorporated by reference to Exhibit 10.5</w:t>
              </w:r>
            </w:hyperlink>
            <w:hyperlink r:id="rId52">
              <w:r>
                <w:rPr>
                  <w:rStyle w:val="InternetLink"/>
                  <w:rFonts w:ascii="Times New Roman;serif" w:hAnsi="Times New Roman;serif"/>
                  <w:b w:val="false"/>
                  <w:color w:val="000080"/>
                  <w:sz w:val="20"/>
                  <w:u w:val="single"/>
                </w:rPr>
                <w:t>7</w:t>
              </w:r>
            </w:hyperlink>
            <w:hyperlink r:id="rId53">
              <w:r>
                <w:rPr>
                  <w:rStyle w:val="InternetLink"/>
                  <w:rFonts w:ascii="Times New Roman;serif" w:hAnsi="Times New Roman;serif"/>
                  <w:b w:val="false"/>
                  <w:color w:val="000080"/>
                  <w:sz w:val="20"/>
                  <w:u w:val="single"/>
                </w:rPr>
                <w:t xml:space="preserve"> to the Company’s Form 10-K filed February 26, 2026.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crx-20260331x10xqxex311.htm">
              <w:r>
                <w:rPr>
                  <w:rStyle w:val="InternetLink"/>
                  <w:rFonts w:ascii="Times New Roman;serif" w:hAnsi="Times New Roman;serif"/>
                  <w:b w:val="false"/>
                  <w:color w:val="0000FF"/>
                  <w:sz w:val="20"/>
                  <w:u w:val="single"/>
                </w:rPr>
                <w:t>Certification of the Principal Executive Officer Pursuant to Rule 13a-14(a) and Rule 15d-14(a) of the Securities Exchange Act of 1934, as Amended, as Adopted Pursuant to Section 302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07"/>
        <w:gridCol w:w="182"/>
        <w:gridCol w:w="183"/>
        <w:gridCol w:w="2867"/>
        <w:gridCol w:w="2795"/>
        <w:gridCol w:w="3971"/>
      </w:tblGrid>
      <w:tr>
        <w:trPr/>
        <w:tc>
          <w:tcPr>
            <w:tcW w:w="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3971" w:type="dxa"/>
            <w:tcBorders/>
            <w:vAlign w:val="center"/>
          </w:tcPr>
          <w:p>
            <w:pPr>
              <w:pStyle w:val="TableContents"/>
              <w:bidi w:val="0"/>
              <w:spacing w:before="0" w:after="283"/>
              <w:jc w:val="left"/>
              <w:rPr>
                <w:sz w:val="4"/>
                <w:szCs w:val="4"/>
              </w:rPr>
            </w:pPr>
            <w:r>
              <w:rPr>
                <w:sz w:val="4"/>
                <w:szCs w:val="4"/>
              </w:rPr>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6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crx-20260331x10xqxex312.htm">
              <w:r>
                <w:rPr>
                  <w:rStyle w:val="InternetLink"/>
                  <w:rFonts w:ascii="Times New Roman;serif" w:hAnsi="Times New Roman;serif"/>
                  <w:b w:val="false"/>
                  <w:color w:val="0000FF"/>
                  <w:sz w:val="20"/>
                  <w:u w:val="single"/>
                </w:rPr>
                <w:t>Certification of the Principal Financial Officer Pursuant to Rule 13a-14(a) and Rule 15d-14(a) of the Securities Exchange Act of 1934, as Amended, as Adopted Pursuant to Section 302 of the Sarbanes-Oxley Act of 2002.</w:t>
              </w:r>
            </w:hyperlink>
          </w:p>
        </w:tc>
      </w:tr>
      <w:tr>
        <w:trPr/>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6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crx-20260331x10xqxex321.htm">
              <w:r>
                <w:rPr>
                  <w:rStyle w:val="InternetLink"/>
                  <w:rFonts w:ascii="Times New Roman;serif" w:hAnsi="Times New Roman;serif"/>
                  <w:b w:val="false"/>
                  <w:color w:val="0000FF"/>
                  <w:sz w:val="20"/>
                  <w:u w:val="single"/>
                </w:rPr>
                <w:t>Certification of the Principal Executive Officer Pursuant to 18 U.S.C. Section 1350, as Adopted Pursuant to Section 906 of the Sarbanes-Oxley Act of 2002.</w:t>
              </w:r>
            </w:hyperlink>
          </w:p>
        </w:tc>
      </w:tr>
      <w:tr>
        <w:trPr/>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6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crx-20260331x10xqxex322.htm">
              <w:r>
                <w:rPr>
                  <w:rStyle w:val="InternetLink"/>
                  <w:rFonts w:ascii="Times New Roman;serif" w:hAnsi="Times New Roman;serif"/>
                  <w:b w:val="false"/>
                  <w:color w:val="0000FF"/>
                  <w:sz w:val="20"/>
                  <w:u w:val="single"/>
                </w:rPr>
                <w:t>Certification of the Principal Financial Officer Pursuant to 18 U.S.C. Section 1350, as Adopted Pursuant to Section 906 of the Sarbanes-Oxley Act of 2002.</w:t>
              </w:r>
            </w:hyperlink>
          </w:p>
        </w:tc>
      </w:tr>
      <w:tr>
        <w:trPr/>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6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Financial statements from the Quarterly Report on Form 10-Q of BioCryst Pharmaceuticals, Inc. for the three months ended March 31, 2026, formatted in Inline XBRL: (i) Condensed Consolidated Balance Sheets, (ii) Condensed Consolidated Statements of Comprehensive (Loss) Income, (iii) Condensed Consolidated Statements of Cash Flows, (iv) Condensed Consolidated Statements of Stockholders’ Deficit, and (v) Notes to Condensed Consolidated Financial Statements, tagged as blocks of text and including detailed tags.</w:t>
            </w:r>
          </w:p>
        </w:tc>
      </w:tr>
      <w:tr>
        <w:trPr/>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6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w:t>
            </w:r>
          </w:p>
        </w:tc>
        <w:tc>
          <w:tcPr>
            <w:tcW w:w="96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&amp;</w:t>
            </w:r>
          </w:p>
        </w:tc>
        <w:tc>
          <w:tcPr>
            <w:tcW w:w="96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contract.</w:t>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certification is being furnished solely to accompany this Quarterly Report on Form 10-Q pursuant to 18 U.S.C. Section 1350, and will not be deemed “filed” for purposes of Section 18 of the Exchange Act, except to the extent that the Company specifically incorporates it by reference.</w:t>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96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identified information has been omitted pursuant to Item 601(b)(10) of Regulation S-K because it is both not material and would likely cause competitive harm to the Company if publicly disclosed.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76" w:before="0" w:after="0"/>
        <w:jc w:val="left"/>
        <w:rPr/>
      </w:pPr>
      <w:hyperlink w:anchor="iae3bfededf5c448c893e5f7ab57807e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 on this 6th day of May, 2026.</w:t>
      </w:r>
    </w:p>
    <w:tbl>
      <w:tblPr>
        <w:tblW w:w="10205" w:type="dxa"/>
        <w:jc w:val="left"/>
        <w:tblInd w:w="0" w:type="dxa"/>
        <w:tblLayout w:type="fixed"/>
        <w:tblCellMar>
          <w:top w:w="28" w:type="dxa"/>
          <w:left w:w="28" w:type="dxa"/>
          <w:bottom w:w="28" w:type="dxa"/>
          <w:right w:w="28" w:type="dxa"/>
        </w:tblCellMar>
      </w:tblPr>
      <w:tblGrid>
        <w:gridCol w:w="1975"/>
        <w:gridCol w:w="1736"/>
        <w:gridCol w:w="1737"/>
        <w:gridCol w:w="1392"/>
        <w:gridCol w:w="1392"/>
        <w:gridCol w:w="1973"/>
      </w:tblGrid>
      <w:tr>
        <w:trPr/>
        <w:tc>
          <w:tcPr>
            <w:tcW w:w="1975"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BIOCRYST PHARMACEUTICALS, INC.</w:t>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8" w:type="dxa"/>
            <w:gridSpan w:val="3"/>
            <w:tcBorders/>
            <w:tcMar>
              <w:top w:w="0" w:type="dxa"/>
              <w:left w:w="0" w:type="dxa"/>
              <w:bottom w:w="0" w:type="dxa"/>
              <w:right w:w="0" w:type="dxa"/>
            </w:tcMar>
            <w:vAlign w:val="center"/>
          </w:tcPr>
          <w:p>
            <w:pPr>
              <w:pStyle w:val="TableContents"/>
              <w:bidi w:val="0"/>
              <w:spacing w:lineRule="auto" w:line="273" w:before="0" w:after="0"/>
              <w:jc w:val="right"/>
              <w:rPr>
                <w:color w:val="000000"/>
              </w:rPr>
            </w:pPr>
            <w:r>
              <w:rPr>
                <w:color w:val="000000"/>
              </w:rPr>
              <w:t>                                                                                    </w:t>
            </w:r>
            <w:r>
              <w:rPr>
                <w:rFonts w:ascii="Times New Roman;serif" w:hAnsi="Times New Roman;serif"/>
                <w:b w:val="false"/>
                <w:color w:val="000000"/>
                <w:sz w:val="20"/>
              </w:rPr>
              <w:t>By:</w:t>
            </w:r>
          </w:p>
        </w:tc>
        <w:tc>
          <w:tcPr>
            <w:tcW w:w="475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Charles Gayer</w:t>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Charles Gayer</w:t>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8" w:type="dxa"/>
            <w:gridSpan w:val="3"/>
            <w:tcBorders/>
            <w:tcMar>
              <w:top w:w="0" w:type="dxa"/>
              <w:left w:w="0" w:type="dxa"/>
              <w:bottom w:w="0" w:type="dxa"/>
              <w:right w:w="0" w:type="dxa"/>
            </w:tcMar>
            <w:vAlign w:val="center"/>
          </w:tcPr>
          <w:p>
            <w:pPr>
              <w:pStyle w:val="TableContents"/>
              <w:bidi w:val="0"/>
              <w:spacing w:lineRule="auto" w:line="273" w:before="0" w:after="0"/>
              <w:jc w:val="right"/>
              <w:rPr>
                <w:color w:val="000000"/>
              </w:rPr>
            </w:pPr>
            <w:r>
              <w:rPr>
                <w:color w:val="000000"/>
              </w:rPr>
              <w:t>                                                                                    </w:t>
            </w:r>
            <w:r>
              <w:rPr>
                <w:rFonts w:ascii="Times New Roman;serif" w:hAnsi="Times New Roman;serif"/>
                <w:b w:val="false"/>
                <w:color w:val="000000"/>
                <w:sz w:val="20"/>
              </w:rPr>
              <w:t>By:</w:t>
            </w:r>
          </w:p>
        </w:tc>
        <w:tc>
          <w:tcPr>
            <w:tcW w:w="475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Babar Ghias</w:t>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Babar Ghias</w:t>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10.3</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March 18,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u w:val="single"/>
        </w:rPr>
      </w:pPr>
      <w:r>
        <w:rPr>
          <w:rFonts w:ascii="Arial;sans-serif" w:hAnsi="Arial;sans-serif"/>
          <w:b/>
          <w:color w:val="000000"/>
          <w:sz w:val="22"/>
          <w:u w:val="single"/>
        </w:rPr>
        <w:t xml:space="preserve">Via Electronic Mail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Mr. Sandeep Menon</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Dear Sandeep,</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On behalf of BioCryst Pharmaceuticals, Inc., a Delaware corporation (the “Company”</w:t>
      </w:r>
      <w:r>
        <w:rPr>
          <w:color w:val="000000"/>
        </w:rPr>
        <w:t xml:space="preserve"> </w:t>
      </w:r>
      <w:r>
        <w:rPr>
          <w:rFonts w:ascii="Arial;sans-serif" w:hAnsi="Arial;sans-serif"/>
          <w:b w:val="false"/>
          <w:color w:val="000000"/>
          <w:sz w:val="22"/>
        </w:rPr>
        <w:t xml:space="preserve">and together with its subsidiaries, including existing and future subsidiaries, the “Company Group”), we are pleased to offer you the position of Chief Research &amp; Development Officer (CRDO). You will report directly to Charlie Gayer, President &amp; Chief Executive Officer. We, along with the other members of the Company’s Board of Directors (the “Board”), and the Company’s management team, are all very impressed with you and what you will bring to the Company. We look forward to your joining this Company and making significant contributions to its success.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Upon formal appointment by the Board as an Officer of the Company, and the successful completion of a background screening, this letter agreement (the “Agreement”) will serve to confirm our agreement with respect to the terms and conditions of your employment.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1.    Term of Employment.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(a)    Subject to the terms and conditions of this Agreement, the Company hereby employs Sandeep Menon (“Employee”) as Chief Research &amp; Development Officer. Employee shall work remotely unless or until business needs change.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Employee shall devote substantially full-time attention to the business and affairs of the Company and its affiliates. Employee may (i) serve on corporate, civic, charitable or non-profit boards or committees, subject in all cases to the prior written approval in accordance with all applicable policies of the Company and its affiliates as in effect from time to time, and (ii) manage personal and family investments, participate in industry organizations and deliver lectures at educational institutions or events, so long as no such service or activity interferes, individually or in the aggregate, with the performance of Employee’s responsibilities hereunder.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(b)    The term of employment of Employee under this Agreement shall begin on April 6, 2026 (the “Effective Date”) and shall continue until Employee is terminated in accordance with Section 4 of this Agreement.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2.</w:t>
      </w:r>
      <w:r>
        <w:rPr>
          <w:color w:val="000000"/>
        </w:rPr>
        <w:t>    </w:t>
      </w:r>
      <w:r>
        <w:rPr>
          <w:rFonts w:ascii="Arial;sans-serif" w:hAnsi="Arial;sans-serif"/>
          <w:b/>
          <w:color w:val="000000"/>
          <w:sz w:val="22"/>
        </w:rPr>
        <w:t>Basic Full-Time Compensation and Benefits.</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(a)    Commencing as of the Effective Date, as basic compensation for services rendered under this Agreement, Employee shall be entitled to receive from the Company a salary of $51,250 per month ($615,000 per annum) (the “Base Salary”), payable in accordance with the Company’s standard payroll practices as in effect from time to time during the term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Agreement. The Base Salary will be reviewed annually by the Board or a committee thereof and may be raised at the discretion of the Board or such committee.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(b)    Employee shall be eligible to earn a cash bonus, payable as soon as reasonably practicable in the calendar year following each calendar year during the term of this Agreement, based on the Company’s and/or Employee’s achievement of performance related goals proposed by management and approved by the Board or a committee thereof for the Company’s applicable fiscal year (the “Incentive Compensation”). The Incentive Compensation actually earned, if any, shall be determined in the sole discretion of the Board or a committee thereof and shall be based on a target amount equal to seventy percent (70%) of the Base Salary earned by Employee during such fiscal year (the “Target Amount”), which shall be the full target bonus given for the first fiscal year of the term of this Agreement. Notwithstanding the foregoing, no employee is entitled to Incentive Compensation and, as is set forth above, the Board or a committee thereof may, in its discretion, determine that Incentive Compensation has not been earned in any applicable fiscal year, including the first. The Board or a committee thereof may, in its discretion, approve an Incentive Compensation payment in excess of the Target Amount if the performance goals have been exceeded. Employee must be currently employed at the Company at the time Incentive Compensation payments are paid to receive the Incentive Compensation payment for each fiscal year.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(c)    Employee shall be eligible for a signing bonus of $150,000. This bonus will be paid in one lump sum in a separate check on the next regularly scheduled pay date after Employee’s start date. The signing bonus is taxable, and all regular payroll taxes will be withheld. If Employee voluntarily leaves BioCryst or is terminated for Cause within twelve (12) months of the date of hire, Employee will be responsible for reimbursing the Company the entire pre-tax signing bonus amount. If Employee voluntarily leaves BioCryst or is terminated for Cause after twelve (12) months of the date of hire but within twenty-four (24) months of the date of hire, Employee will be responsible for reimbursing the Company $75,000.00. By Employee’s signature on this Agreement, Employee hereby authorizes the Company to withhold $150,000 or $75,000, whichever amount is applicable, from any final pay Employee may be eligible to receive, if applicable, upon termination of employment.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(d)    Employee shall be entitled to receive such other benefits and perquisites provided to similarly situated executive officers of the Company, subject to modification or termination at any time, which benefits may include, without limitation, reasonable paid time off (PTO), medical, dental and vision benefits, life insurance, and participation in profit sharing or retirement plans.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3.    Equity Awards.</w:t>
      </w:r>
    </w:p>
    <w:p>
      <w:pPr>
        <w:pStyle w:val="TextBody"/>
        <w:bidi w:val="0"/>
        <w:spacing w:before="0" w:after="0"/>
        <w:jc w:val="left"/>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The Company shall grant to Employee 441,350 stock options and 205,150 RSUs pursuant to BioCryst’s stock incentive plan (the “Initial Equity Grants”). The grant date of the Initial Equity Grants shall be the first day of employment under this Agreement, or such other date as the Compensation Committee of the Board determines. The Initial Equity Grants shall be granted under and subject to the terms of the Company’s Inducement Plan or the Company’s Stock Incentive Plan, as applicable and as the same may be amended and restated from time to time. The Initial Equity Grants shall vest and become exercisable (contingent on Employee’s continued provision of services to the Company on each respective vesting date) over a period of four (4) years on the anniversary of the grant date.</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88620"/>
                <wp:effectExtent l="0" t="0" r="0" b="0"/>
                <wp:wrapNone/>
                <wp:docPr id="89" name="Frame89"/>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During the term of this Agreement, Employee shall be eligible to receive equity-based compensation as determined in the sole discretion of the Board or a committee thereof, which may be subject to the achievement of certain performance targets set by the Board or such committee. All such equity-based awards shall be subject to the terms and conditions set forth in the Company’s Stock Incentive Plan as in effect from time to time and award agreements issued thereunder.</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4.    Termination.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    If Employee’s employment is terminated (i) by the Company for Cause, (ii) by Employee other than, following a Change of Control, pursuant to a Constructive Termination, or (iii) Employee’s death or Disability, the Company shall pay Employee (A) any accrued and unpaid Base Salary, payable on the next payroll date; (B) reimbursement for any and all monies advanced or expenses incurred in connection with Employee’s employment for reasonable and necessary expenses incurred by Employee on behalf of the Company for the period ending on the termination date, which amount shall be reimbursed within thirty (30) days of the Company’s receipt of proper documentation from Employee; (C) any compensation that Employee had previously deferred (including any interest earned or credited thereon), in accordance with the terms and conditions of the applicable deferred compensation plans or arrangements then in effect, to the extent vested as of Employee’s termination date, paid pursuant to the terms of such plans or arrangements; and (D) any vested amount or benefit payable under any welfare or retirement benefit plan or program in accordance with the terms thereof (the foregoing items in this Section 4(a), the “Accrued Obligations”).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For all purposes under this Agreement, a termination for “Cause” shall mean a determination by the Board that Employee’s employment be terminated for any of the following reasons: (i) failure or refusal to comply in any material respect with lawful policies, standards or regulations of Company; (ii) a violation of a federal or state law or regulation applicable to the business of the Company; (iii) conviction or plea of no contest to a felony under the laws of the United States or any State; (iv) fraud or misappropriation of property belonging to the Company or its affiliates; (v) a breach in any material respect of the terms of any confidentiality, invention assignment or proprietary information agreement with the Company or with a former employer, (vi) failure to satisfactorily perform Employee’s duties after having received written notice of such failure and at least thirty (30) days to cure such failure, or (vii) misconduct or gross negligence in connection with the performance of Employee’s duties.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For all purposes under this Agreement, “Disability” shall mean the inability of Employee to perform Employee’s duties hereunder by reason of physical or mental incapacity for ninety (90) days, whether consecutive or not, during any consecutive twelve (12) month period.</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(b)    If Employee’s employment is terminated by the Company without Cause, or, following a Change of Control, by Employee pursuant to a Constructive Termination, then Employee will receive any Accrued Obligations and, subject to Sections 4(c) and 6(f), Employee will receive the following: (i) continuation of Base Salary for one (1) year following the effective termination date, payable in accordance with the regular payroll practices of the Company; (ii) payment of one times Employee’s annual target Incentive Compensation in effect for the fiscal year in which Employee’s termination date occurs, payable in equal installments over the regularly scheduled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88620"/>
                <wp:effectExtent l="0" t="0" r="0" b="0"/>
                <wp:wrapNone/>
                <wp:docPr id="90" name="Frame90"/>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payroll periods of the Company for the one year following the effective date of termination; and (iii) if Employee elects to continue health insurance coverage under the Consolidated Omnibus Budget Reconciliation Act of 1985, as amended (“COBRA”) following termination of employment, the Company shall pay the monthly premium under COBRA on the same basis as active employees until the earlier of (x) 12 months following the effective termination date, or (y) the date upon which Employee commences employment with an entity other than the Company. Employee will notify the Company in writing within five (5) days of Employee’s receipt of an offer of employment with any entity other than the Company, and will accordingly identify the date upon which Employee will commence employment in such writing (clauses (i) through (iii), “Severance”).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For all purposes under this Agreement, “Change of Control” shall mean: (i) the sale, transfer, or other disposition of all or substantially all of the assets of the Company in liquidation or dissolution of the Company; (ii) the consummation of a merger or consolidation of the Company with any other corporation or other entity, other than (I) a merger or consolidation (A) which results in the voting securities of the Company outstanding immediately prior to such merger or consolidation continuing to represent fifty percent (50%) or more of the combined voting power of the surviving entity or the ultimate parent thereof outstanding immediately after such merger or consolidation and (B) immediately following which the individuals who comprise the Board immediately prior thereto constitute fifty percent (50%) or more of the board of directors of the entity surviving such merger or consolidation or, if the Company or the entity surviving such merger or consolidation is then a subsidiary, the ultimate parent thereof, or (II) a merger or consolidation effected to implement a recapitalization of the Company (or similar transaction) in which no Person is or becomes the beneficial owner (within the meaning of Rule 13d-3 of the Securities Exchange Act of 1934, as amended (the “1934 Act”)), directly or indirectly, of securities of the Company (not including in the securities beneficially owned by such Person any securities acquired directly from the Company or its affiliates) representing more than fifty percent (50%) of the combined voting power of the Company’s then outstanding securities; (iii) any person or related group of persons (other than the Company or a person that directly or indirectly controls, is controlled by, or is under common control with, the Company) directly or indirectly acquires beneficial ownership (within the meaning of Rule 13d-3 of the 1934 Act) of securities possessing more than fifty percent (50%) of the total combined voting of the Company’s outstanding securities pursuant to a tender or exchange offer made directly to the Company’s stockholders; or (iv) a change in the composition of the Board over a period of twelve (12) consecutive months such that a majority of the Board members (rounded up to the next whole number) ceases to be comprised of individuals who either (A) have been Board members continuously since the beginning of such period or (B) have been elected or nominated for election as Board members during such period by at least two-thirds of the Board members described in clause (A) who were still in office at the time such election or nomination was approved by the Board.</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For all purposes under this Agreement, “Constructive Termination” shall mean a resignation of employment within 30 days of the occurrence of any of the following events which occurs within 6 months following a Change of Control: (i) a material reduction in Employee’s responsibilities; (ii) a material reduction in Employee’s Base Salary, unless such reduction is comparable in percentage to, and is part of, a reduction in the base salary of all executives of the Company; or (iii) a relocation of Employee’s principal office to a location more than 50 miles from the location of Employee’s principal office immediately preceding a Change of Control.</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88620"/>
                <wp:effectExtent l="0" t="0" r="0" b="0"/>
                <wp:wrapNone/>
                <wp:docPr id="91" name="Frame91"/>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(c)    The Company’s obligation to provide Severance is conditioned upon Employee returning to the Company all of its property and confidential information that is in Employee’s possession and Employee’s execution and non-revocation of an enforceable release of claims (the “Release”). If Employee chooses not to execute the Release, revokes Employee’s execution of the Release, or fails to comply with the terms of the Release, then the Company shall have no obligation to provide Severance and such Severance amount is subject to recoupment by the Company. The Release shall be provided to Employee no later than seven (7) days following Employee’s separation from service and Employee must execute it within the time period specified in the Release (which shall not be longer than forty-five (45) days from the date of receipt). The Release shall not be effective until any applicable revocation period has expired.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color w:val="000000"/>
          <w:sz w:val="22"/>
        </w:rPr>
      </w:pPr>
      <w:r>
        <w:rPr>
          <w:rFonts w:ascii="Arial;sans-serif" w:hAnsi="Arial;sans-serif"/>
          <w:b/>
          <w:color w:val="000000"/>
          <w:sz w:val="22"/>
        </w:rPr>
        <w:t>5.Non-Competition; Proprietary Information and Inventions.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2"/>
        </w:rPr>
        <w:t>(a)</w:t>
      </w:r>
      <w:r>
        <w:rPr>
          <w:rFonts w:ascii="Arial;sans-serif" w:hAnsi="Arial;sans-serif"/>
          <w:b w:val="false"/>
          <w:color w:val="000000"/>
          <w:sz w:val="22"/>
          <w:u w:val="single"/>
        </w:rPr>
        <w:t>Proprietary Information and Inventions Agreement; Non-Competition and Non-Solicitation Agreement</w:t>
      </w:r>
      <w:r>
        <w:rPr>
          <w:rFonts w:ascii="Arial;sans-serif" w:hAnsi="Arial;sans-serif"/>
          <w:b w:val="false"/>
          <w:color w:val="000000"/>
          <w:sz w:val="22"/>
        </w:rPr>
        <w:t xml:space="preserve">. As a condition precedent to the employment of Employee by the Company pursuant to the terms of this Agreement, Employee shall execute (i) the Company’s Proprietary Information and Inventions Agreement, attached hereto as </w:t>
      </w:r>
      <w:r>
        <w:rPr>
          <w:rFonts w:ascii="Arial;sans-serif" w:hAnsi="Arial;sans-serif"/>
          <w:b/>
          <w:color w:val="000000"/>
          <w:sz w:val="22"/>
        </w:rPr>
        <w:t>Exhibit A</w:t>
      </w:r>
      <w:r>
        <w:rPr>
          <w:rFonts w:ascii="Arial;sans-serif" w:hAnsi="Arial;sans-serif"/>
          <w:b w:val="false"/>
          <w:color w:val="000000"/>
          <w:sz w:val="22"/>
        </w:rPr>
        <w:t xml:space="preserve">, and (ii) the Company’s Non-Competition and Non-Solicitation Agreement, attached hereto as </w:t>
      </w:r>
      <w:r>
        <w:rPr>
          <w:rFonts w:ascii="Arial;sans-serif" w:hAnsi="Arial;sans-serif"/>
          <w:b/>
          <w:color w:val="000000"/>
          <w:sz w:val="22"/>
        </w:rPr>
        <w:t>Exhibit B</w:t>
      </w:r>
      <w:r>
        <w:rPr>
          <w:rFonts w:ascii="Arial;sans-serif" w:hAnsi="Arial;sans-serif"/>
          <w:b w:val="false"/>
          <w:color w:val="000000"/>
          <w:sz w:val="22"/>
        </w:rPr>
        <w:t>.</w:t>
      </w:r>
    </w:p>
    <w:p>
      <w:pPr>
        <w:pStyle w:val="TextBody"/>
        <w:bidi w:val="0"/>
        <w:spacing w:before="0" w:after="0"/>
        <w:ind w:left="0" w:right="0" w:firstLine="720"/>
        <w:jc w:val="left"/>
        <w:rPr/>
      </w:pPr>
      <w:r>
        <w:rPr/>
      </w:r>
    </w:p>
    <w:p>
      <w:pPr>
        <w:pStyle w:val="TextBody"/>
        <w:bidi w:val="0"/>
        <w:spacing w:lineRule="auto" w:line="288" w:before="0" w:after="0"/>
        <w:jc w:val="both"/>
        <w:rPr/>
      </w:pPr>
      <w:r>
        <w:rPr>
          <w:rFonts w:ascii="Arial;sans-serif" w:hAnsi="Arial;sans-serif"/>
          <w:b w:val="false"/>
          <w:color w:val="000000"/>
          <w:sz w:val="22"/>
        </w:rPr>
        <w:t>(b)</w:t>
      </w:r>
      <w:r>
        <w:rPr>
          <w:rFonts w:ascii="Arial;sans-serif" w:hAnsi="Arial;sans-serif"/>
          <w:b w:val="false"/>
          <w:color w:val="000000"/>
          <w:sz w:val="22"/>
          <w:u w:val="single"/>
        </w:rPr>
        <w:t>Equitable Remedies</w:t>
      </w:r>
      <w:r>
        <w:rPr>
          <w:rFonts w:ascii="Arial;sans-serif" w:hAnsi="Arial;sans-serif"/>
          <w:b w:val="false"/>
          <w:color w:val="000000"/>
          <w:sz w:val="22"/>
        </w:rPr>
        <w:t>. Employee acknowledges and recognizes that a violation of the Proprietary Information and Inventions Agreement or the Non-Competition and Non-Solicitation Agreement by Employee may cause irreparable and substantial damage and harm to the Company or its affiliates, could constitute a failure of consideration, and that money damages will not provide a full remedy for the Company for such violations. Employee agrees that in the event of Employee’s breach of the Proprietary Information and Inventions Agreement or the Non-Competition and Non-Solicitation Agreement, the Company will be entitled, if it so elects, to institute and prosecute proceedings at law or in equity to obtain damages with respect to such breach, to enforce the specific performance of such agreement(s) by Employee, and to enjoin Employee from engaging in any activity in violation hereof.</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6.    Miscellaneous.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2"/>
        </w:rPr>
        <w:t>(a)    </w:t>
      </w:r>
      <w:r>
        <w:rPr>
          <w:rFonts w:ascii="Arial;sans-serif" w:hAnsi="Arial;sans-serif"/>
          <w:b w:val="false"/>
          <w:color w:val="000000"/>
          <w:sz w:val="22"/>
          <w:u w:val="single"/>
        </w:rPr>
        <w:t>Entire Agreement</w:t>
      </w:r>
      <w:r>
        <w:rPr>
          <w:rFonts w:ascii="Arial;sans-serif" w:hAnsi="Arial;sans-serif"/>
          <w:b w:val="false"/>
          <w:color w:val="000000"/>
          <w:sz w:val="22"/>
        </w:rPr>
        <w:t>. This Agreement, including the exhibits hereto, constitutes the entire agreement between the parties relating to the employment of Employee by the Company and there are no terms relating to such employment other than those contained in this Agreement and supersedes all other agreements or understandings related to the subject matter contained herein. No modification or variation hereof shall be deemed valid unless in writing and signed by the parties hereto. No waiver by either party of any provision or condition of this Agreement shall be deemed a waiver of similar or dissimilar provisions or conditions at any time.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(b)    </w:t>
      </w:r>
      <w:r>
        <w:rPr>
          <w:rFonts w:ascii="Arial;sans-serif" w:hAnsi="Arial;sans-serif"/>
          <w:b w:val="false"/>
          <w:color w:val="000000"/>
          <w:sz w:val="22"/>
          <w:u w:val="single"/>
        </w:rPr>
        <w:t>Assignability</w:t>
      </w:r>
      <w:r>
        <w:rPr>
          <w:rFonts w:ascii="Arial;sans-serif" w:hAnsi="Arial;sans-serif"/>
          <w:b w:val="false"/>
          <w:color w:val="000000"/>
          <w:sz w:val="22"/>
        </w:rPr>
        <w:t>. This Agreement may not be assigned without prior written consent of the parties hereto, except that the Company may assign this Agreement to a wholly-owned subsidiary of the Company without prior written consent of Employee. To the extent allowable pursuant to this Agreement, this Agreement shall be binding upon and shall inure to the benefit of each of the parties hereto and their respective executors, administrators, personal representatives, heirs, successors and assigns.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88620"/>
                <wp:effectExtent l="0" t="0" r="0" b="0"/>
                <wp:wrapNone/>
                <wp:docPr id="92" name="Frame92"/>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Arial;sans-serif" w:hAnsi="Arial;sans-serif"/>
          <w:b w:val="false"/>
          <w:color w:val="000000"/>
          <w:sz w:val="22"/>
        </w:rPr>
        <w:t>(c)    </w:t>
      </w:r>
      <w:r>
        <w:rPr>
          <w:rFonts w:ascii="Arial;sans-serif" w:hAnsi="Arial;sans-serif"/>
          <w:b w:val="false"/>
          <w:color w:val="000000"/>
          <w:sz w:val="22"/>
          <w:u w:val="single"/>
        </w:rPr>
        <w:t>Notices</w:t>
      </w:r>
      <w:r>
        <w:rPr>
          <w:rFonts w:ascii="Arial;sans-serif" w:hAnsi="Arial;sans-serif"/>
          <w:b w:val="false"/>
          <w:color w:val="000000"/>
          <w:sz w:val="22"/>
        </w:rPr>
        <w:t>. Any notice or other communication given or rendered hereunder by any party hereto shall be in writing and delivered personally or sent by registered or certified mail, postage prepaid, at the respective addresses of the parties hereto as set forth below.</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(d)    </w:t>
      </w:r>
      <w:r>
        <w:rPr>
          <w:rFonts w:ascii="Arial;sans-serif" w:hAnsi="Arial;sans-serif"/>
          <w:b w:val="false"/>
          <w:color w:val="000000"/>
          <w:sz w:val="22"/>
          <w:u w:val="single"/>
        </w:rPr>
        <w:t>Captions</w:t>
      </w:r>
      <w:r>
        <w:rPr>
          <w:rFonts w:ascii="Arial;sans-serif" w:hAnsi="Arial;sans-serif"/>
          <w:b w:val="false"/>
          <w:color w:val="000000"/>
          <w:sz w:val="22"/>
        </w:rPr>
        <w:t>. The section headings contained herein are inserted only as a matter of convenience and reference and in no way define, limit or describe the scope of this Agreement or the intent of any provision hereof.</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(e)    </w:t>
      </w:r>
      <w:r>
        <w:rPr>
          <w:rFonts w:ascii="Arial;sans-serif" w:hAnsi="Arial;sans-serif"/>
          <w:b w:val="false"/>
          <w:color w:val="000000"/>
          <w:sz w:val="22"/>
          <w:u w:val="single"/>
        </w:rPr>
        <w:t>Taxes</w:t>
      </w:r>
      <w:r>
        <w:rPr>
          <w:rFonts w:ascii="Arial;sans-serif" w:hAnsi="Arial;sans-serif"/>
          <w:b w:val="false"/>
          <w:color w:val="000000"/>
          <w:sz w:val="22"/>
        </w:rPr>
        <w:t>. All amounts to be paid to Employee hereunder are in the nature of compensation for Employee’s employment by the Company, and shall be subject to withholding, income, occupation and payroll taxes and other charges applicable to such compensation.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(f)    </w:t>
      </w:r>
      <w:r>
        <w:rPr>
          <w:rFonts w:ascii="Arial;sans-serif" w:hAnsi="Arial;sans-serif"/>
          <w:b w:val="false"/>
          <w:color w:val="000000"/>
          <w:sz w:val="22"/>
          <w:u w:val="single"/>
        </w:rPr>
        <w:t>Section 409A</w:t>
      </w:r>
      <w:r>
        <w:rPr>
          <w:rFonts w:ascii="Arial;sans-serif" w:hAnsi="Arial;sans-serif"/>
          <w:b w:val="false"/>
          <w:color w:val="000000"/>
          <w:sz w:val="22"/>
        </w:rPr>
        <w:t>. The parties intend for the payments and benefits under this Agreement to be exempt from Section 409A of the Internal Revenue Code of 1986, as amended (the “Code”), or, if not so exempt, to be paid or provided in a manner which complies with the requirements of such section, and intend that this Agreement shall be construed and administered in accordance with such intention. In the event the Company determines that a payment or benefit under this Agreement may not be in compliance with Section 409A of the Code, the Company shall reasonably confer with Employee in order to modify or amend this Agreement to comply with Section 409A of the Code and to do so in a manner to best preserve the economic benefit of this Agreement. Notwithstanding anything contained herein to the contrary, (i) in the event (A) any payments described in Section 4 would be “deferred compensation” subject to Section 409A of the Code; and (B) Employee is a “specified employee” (as defined in Code Section 409A(2)(B)(i)), such payments shall, to the extent required by Code Section 409A, be delayed for the minimum period and in the minimum manner necessary to avoid the imposition of the tax required by Section 409A of the Code; (ii) each amount to be paid or benefit to be provided under this Agreement shall be construed as a separately identified payment for purposes of Section 409A of the Code; (iii) any payments that are due within the “short term deferral period” as defined in Section 409A of the Code shall not be treated as deferred compensation unless applicable law requires otherwise; and (iv) amounts reimbursable to Employee under this Agreement shall be paid to Employee on or before the last day of the year following the year in which the expense was incurred and the amount of expenses eligible for reimbursement (and in-kind benefits provided to Employee) during any one (1) year may not affect amounts reimbursable or provided in any subsequent year. Notwithstanding anything in this Agreement to the contrary, in the event any payments hereunder could occur in one of two calendar years as a result of being dependent upon the Release becoming nonrevocable, then, to the extent required to avoid the imposition of taxes or penalties under Section 409A of the Code, such payments shall commence on the first regularly scheduled payroll date of the Company, following the date the Release becomes nonrevocable, that occurs in the second of such two calendar years.</w:t>
      </w:r>
    </w:p>
    <w:p>
      <w:pPr>
        <w:pStyle w:val="TextBody"/>
        <w:bidi w:val="0"/>
        <w:spacing w:before="0" w:after="0"/>
        <w:jc w:val="both"/>
        <w:rPr/>
      </w:pPr>
      <w:r>
        <w:rPr/>
      </w:r>
    </w:p>
    <w:p>
      <w:pPr>
        <w:pStyle w:val="TextBody"/>
        <w:bidi w:val="0"/>
        <w:spacing w:lineRule="auto" w:line="288"/>
        <w:jc w:val="both"/>
        <w:rPr/>
      </w:pPr>
      <w:r>
        <w:rPr>
          <w:rFonts w:ascii="Arial;sans-serif" w:hAnsi="Arial;sans-serif"/>
          <w:b w:val="false"/>
          <w:color w:val="000000"/>
          <w:sz w:val="22"/>
        </w:rPr>
        <w:t>(g)    </w:t>
      </w:r>
      <w:r>
        <w:rPr>
          <w:rFonts w:ascii="Arial;sans-serif" w:hAnsi="Arial;sans-serif"/>
          <w:b w:val="false"/>
          <w:color w:val="000000"/>
          <w:sz w:val="22"/>
          <w:u w:val="single"/>
        </w:rPr>
        <w:t>Golden Parachute Provisions</w:t>
      </w:r>
      <w:r>
        <w:rPr>
          <w:rFonts w:ascii="Arial;sans-serif" w:hAnsi="Arial;sans-serif"/>
          <w:b w:val="false"/>
          <w:color w:val="000000"/>
          <w:sz w:val="22"/>
        </w:rPr>
        <w:t xml:space="preserve">. If it is determined that any payment or benefit provided by the Company to or for the benefit of Employee, whether paid or payable or distributed or distributable pursuant to the terms of this Agreement or otherwise, including, by example and not by way of limitation, acceleration by the Company or otherwise of the date of vesting or payment under any plan, program, arrangement or agreement of the Company would be subject to the excise tax imposed by Internal Revenue Code section 4999 or any interest or penalties with respect to such excise tax (such excise tax together with any such interest and penalties,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88620"/>
                <wp:effectExtent l="0" t="0" r="0" b="0"/>
                <wp:wrapNone/>
                <wp:docPr id="93" name="Frame93"/>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shall be referred to as the “Excise Tax”), then the Company shall first make a calculation under which such payments or benefits provided to Employee are reduced to the extent necessary so that no portion thereof shall be subject to the Excise Tax (the “4999 Limit”). The Company shall then compare (i) Employee’s Net After-Tax Benefit (as defined below) assuming application of the 4999 Limit with (ii) Employee’s Net After-Tax Benefit without application of the 4999 Limit. Employee shall be entitled to the greater of (i) or (ii). “Net After-Tax Benefit” shall mean the sum of (x) all payments that Employee receives or is entitled to receive that are contingent on a change in the ownership or effective control of the Company or in the ownership of a substantial portion of the assets of the Company within the meaning of Internal Revenue Code section 280G(b)(2), less (y) the amount of federal, state, local, employment, and Excise Tax (if any) imposed with respect to such payments. Any reduction pursuant to this Section 6(g) shall be implemented by determining the Parachute Payment Ratio (as defined below) for each “parachute payment” and then reducing the “parachute payments” in order beginning with the “parachute payment” with the highest Parachute Payment Ratio. For “parachute payments” with the same Parachute Payment Ratio, such “parachute payments” shall be reduced based on the time of payment of such “parachute payments,” with amounts having later payment dates being reduced first. For “parachute payments” with the same Parachute Payment Ratio and the same time of payment, such “parachute payments” shall be reduced on a pro rata basis (but not below zero) prior to reducing “parachute payments” with a lower Parachute Payment Ratio. “Parachute Payment Ratio” shall mean a fraction the numerator of which is the value of the applicable “parachute payment” for purposes of Internal Revenue Code Section 280G and the denominator of which is the actual present value of such payment.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(h)    </w:t>
      </w:r>
      <w:r>
        <w:rPr>
          <w:rFonts w:ascii="Arial;sans-serif" w:hAnsi="Arial;sans-serif"/>
          <w:b w:val="false"/>
          <w:color w:val="000000"/>
          <w:sz w:val="22"/>
          <w:u w:val="single"/>
        </w:rPr>
        <w:t>Governing Law</w:t>
      </w:r>
      <w:r>
        <w:rPr>
          <w:rFonts w:ascii="Arial;sans-serif" w:hAnsi="Arial;sans-serif"/>
          <w:b w:val="false"/>
          <w:color w:val="000000"/>
          <w:sz w:val="22"/>
        </w:rPr>
        <w:t>. This Agreement is made and shall be governed by and construed in accordance with the laws of the State of North Carolina without respect to its conflicts of law principles.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[SIGNATURES ON THE FOLLOWING PAGE]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88620"/>
                <wp:effectExtent l="0" t="0" r="0" b="0"/>
                <wp:wrapNone/>
                <wp:docPr id="94" name="Frame94"/>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If the foregoing correctly sets forth our understanding, please signify your acceptance of such</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terms by executing this Agreement, thereby signifying your assent, as indicated below.</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Sincerely,</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BIOCRYST PHARMACEUTICALS,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720"/>
        <w:jc w:val="left"/>
        <w:rPr/>
      </w:pPr>
      <w:r>
        <w:rPr>
          <w:rFonts w:ascii="Arial;sans-serif" w:hAnsi="Arial;sans-serif"/>
          <w:b w:val="false"/>
          <w:color w:val="000000"/>
          <w:sz w:val="22"/>
        </w:rPr>
        <w:t>BY:    </w:t>
      </w:r>
      <w:r>
        <w:rPr>
          <w:rFonts w:ascii="Arial;sans-serif" w:hAnsi="Arial;sans-serif"/>
          <w:b w:val="false"/>
          <w:color w:val="000000"/>
          <w:sz w:val="22"/>
          <w:u w:val="single"/>
        </w:rPr>
        <w:t>/s/ Stephanie Angelini</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Steph Angelini</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Chief People &amp;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Corporate Communications Officer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Cc: Alane Barnes – Chief Legal Officer</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Charlie Gayer – 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u w:val="single"/>
        </w:rPr>
      </w:pPr>
      <w:r>
        <w:rPr>
          <w:rFonts w:ascii="Arial;sans-serif" w:hAnsi="Arial;sans-serif"/>
          <w:b/>
          <w:color w:val="000000"/>
          <w:sz w:val="22"/>
          <w:u w:val="single"/>
        </w:rPr>
        <w:t>VOLUNTARILY ACCEPTED AND AGREED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NAME: Sandeep Menon            </w:t>
      </w:r>
    </w:p>
    <w:p>
      <w:pPr>
        <w:pStyle w:val="TextBody"/>
        <w:bidi w:val="0"/>
        <w:spacing w:lineRule="auto" w:line="288" w:before="0" w:after="0"/>
        <w:jc w:val="left"/>
        <w:rPr/>
      </w:pPr>
      <w:r>
        <w:rPr>
          <w:rFonts w:ascii="Arial;sans-serif" w:hAnsi="Arial;sans-serif"/>
          <w:b w:val="false"/>
          <w:color w:val="000000"/>
          <w:sz w:val="22"/>
        </w:rPr>
        <w:t xml:space="preserve">SIGNATURE: </w:t>
      </w:r>
      <w:r>
        <w:rPr>
          <w:rFonts w:ascii="Arial;sans-serif" w:hAnsi="Arial;sans-serif"/>
          <w:b w:val="false"/>
          <w:color w:val="000000"/>
          <w:sz w:val="22"/>
          <w:u w:val="single"/>
        </w:rPr>
        <w:t>/s/ Sandeep Menon</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DATE: March 19, 2026 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88620"/>
                <wp:effectExtent l="0" t="0" r="0" b="0"/>
                <wp:wrapNone/>
                <wp:docPr id="95" name="Frame95"/>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Exhibit A</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(Proprietary Information and Inventions Agreement)</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EMPLOYEE’S PROPRIETARY INFORMATION AND INVENTIONS AGREEMENT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 Sandeep Menon, recognize that BioCryst Pharmaceuticals, Inc., a Delaware corporation (hereinafter the “Company” and together with its subsidiaries, including existing and future</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subsidiaries, the “Company Group”), is engaged in a continuous program of research, development, and production respecting its business, present and future, including fields generally related to its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I understand that:</w:t>
      </w:r>
    </w:p>
    <w:p>
      <w:pPr>
        <w:pStyle w:val="TextBody"/>
        <w:bidi w:val="0"/>
        <w:spacing w:before="0" w:after="0"/>
        <w:jc w:val="left"/>
        <w:rPr/>
      </w:pPr>
      <w:r>
        <w:rPr/>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A.As part of my employment by a member of the Company Group, I will faithfully and diligently serve and endeavor to further and safeguard the interests of the Company Group, and I recognize that I am expected to make new contributions and inventions of value to the Company Group;</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B.My employment creates a relationship of confidence and trust between me and the Company Group with respect to any information:</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i.Applicable to the business of the Company Group; or</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ii.Applicable to the business of any client or customer of the Company Group which may be made known to me by the Company Group or by any client or customer of Company Group, or learned by me during the period of my employment.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2"/>
        </w:rPr>
        <w:t>C.The Company Group possesses and will continue to possess information that has been created, discovered</w:t>
      </w:r>
      <w:r>
        <w:rPr>
          <w:color w:val="000000"/>
        </w:rPr>
        <w:t xml:space="preserve"> </w:t>
      </w:r>
      <w:r>
        <w:rPr>
          <w:rFonts w:ascii="Arial;sans-serif" w:hAnsi="Arial;sans-serif"/>
          <w:b w:val="false"/>
          <w:color w:val="000000"/>
          <w:sz w:val="22"/>
        </w:rPr>
        <w:t>or developed by, or assigned, disclosed or otherwise become known to, it (including without limitation information created, discovered, developed, disclosed or made known by me during the period of or arising out of my employment by any member of the Company Group), which information is not generally known to the public. All of the aforementioned information is hereinafter called “Proprietary Information.” By way of illustration, but not limitation, Proprietary Information includes trade secrets, processes, formulas, data and know-how, improvements, inventions, techniques, marketing plans, financial information, strategies, forecasts, and customer lists.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In consideration of my employment or continued employment, as the case may be, by any member of the Company Group and the compensation received by me from the Company Group from time to time, I hereby agree as follows:</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1.    All Proprietary Information shall be the sole property of the Company and its assigns, and the Company and its assigns shall be the sole owner of all patents and other rights, title, and interest in connection therewith. I hereby assign to the Company any and all rights I may have or acquire in such Proprietary Information and/or patents. At all times, both during my employment by the Company and after its termination, I will keep in confidence and trust all Proprietary Information, and I will not use or disclose any Proprietary Information or anything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88620"/>
                <wp:effectExtent l="0" t="0" r="0" b="0"/>
                <wp:wrapNone/>
                <wp:docPr id="96" name="Frame96"/>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relating to it without the prior written consent of the Company, except as may be necessary in the ordinary course of performing my duties as an employee of the Company.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2.    I agree that, during the period of my employment by the Company, I will not, without the Company's express prior written consent, engage in any employment or consulting other than for the Company. In the event of the termination of my employment by me or by the Company for any reason, I will promptly deliver to the Company all documents and data of any nature pertaining to my work with the Company and I will not take with me any documents or data of any description or any reproduction of any description containing or pertaining to any Proprietary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3.    I will promptly and fully disclose to the Company, or any persons designated by it, all improvements, inventions, formulas, processes, techniques, know how, and data, whether or not patentable, copyrightable, or otherwise protectible as property, made or conceived or reduced to practice or learned by me, either alone or jointly with others, during the period of my employment by the Company which are related to or useful in the business of the Company, or result from tasks assigned me by the Company or result from use of premises owned, leased, or contracted for by the Company (all said improvements, inventions, formulas, processes, techniques, know how, and data shall be collectively hereinafter called “Inventions”). I agree to keep complete, accurate, and authentic accounts, notes, data, and records of all Inventions in the manner and form requested by the Company, which accounts, notes, data, and records shall be and remain the sole property of the Company. I agree to surrender the same promptly to the Company upon its request or, in the absence of such a request, upon the termination of my employment by the Company.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4.    I agree that all Inventions are and shall be the sole property of the Company and its assigns, and that the Company and its assigns shall be the sole owner of all patents and other rights in connection therewith. I hereby assign to the Company any and all rights I may have or acquire in or to such Inventions and patents. I further agree as to all such Inventions to assist the Company in every proper way (but at the Company's expense) to obtain and from time to time enforce patents, including amendments, extensions, and continuations of said patents, on said Inventions in any and all countries, and to that end I will execute all documents for use in applying for and for obtaining such patents, amendments, extensions, and continuations and enforcing same, as the Company may desire, together with any assignments thereof to the Company or persons designated by it. My obligation to assist the Company in obtaining and enforcing patents, amendments, extensions, and continuations for such Inventions in any and all countries shall continue beyond the termination of my employment, but the Company shall compensate me at a reasonable rate after such termination for time actually spent by me at the Company's request on such assistance.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5.    As a matter of record I attach hereto a complete list of all Inventions or improvements relevant to the subject matter of my employment by the Company which have been conceived, made, or reduced to practice by me, alone or jointly with others, prior to my engagement by the Company which I desire to remove from the operation of this Agreement. I covenant that such list is complete. If no such list is attached to this Agreement, I represent that I have no such Inventions and improvements at the time of signing this Agreement.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88620"/>
                <wp:effectExtent l="0" t="0" r="0" b="0"/>
                <wp:wrapNone/>
                <wp:docPr id="97" name="Frame97"/>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6.    I represent that my performance of all of the terms of this Agreement and as an employee of the Company does not and will not breach any agreement to keep in confidence Proprietary Information acquired by me in confidence or in trust prior to my employment by the Company. I have not entered into, and I agree that I will not enter into, any agreement either written or oral in conflict herewith.</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7.    I understand that, as part of the consideration of the offer of employment extended to me by the Company or of my continued employment by the Company, as the case may be, I will not bring, have not brought, with me to the Company and I will not use, have not used, in the performance of my responsibilities at the Company materials or documents of a former employer, unless I have obtained written authorization from the former employer for their possession and use. Accordingly, this is to advise the Company that the only materials that I will bring to the Company or use in my employment are identified on the attached sheet (Exhibit A) and, as to each such item, I represent that I have obtained, prior to the effective date of my employment with the Company, written authorization for their possession and use in my employment with the Company.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8.    I also understand that, in my employment with the Company, I am not to breach any obligation of confidentiality that I have to former employers, and I agree that I shall fulfill all such obligations during my employment with the Company.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9.    This Agreement shall be effective as of the first day of my employment by the Company. I understand and agree that this Agreement is not a contract of employment.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10.    This Agreement shall be binding upon me, my heirs, executors, assigns, administrators, and other legal representatives and shall inure to the benefit of the Company, its successors and assigns.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 xml:space="preserve">DATED: March 19, 2026                  BY: </w:t>
      </w:r>
      <w:r>
        <w:rPr>
          <w:rFonts w:ascii="Arial;sans-serif" w:hAnsi="Arial;sans-serif"/>
          <w:b w:val="false"/>
          <w:color w:val="000000"/>
          <w:sz w:val="22"/>
          <w:u w:val="single"/>
        </w:rPr>
        <w:t>/s/ Sandeep Menon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88620"/>
                <wp:effectExtent l="0" t="0" r="0" b="0"/>
                <wp:wrapNone/>
                <wp:docPr id="98" name="Frame98"/>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Dear Sir/Madam: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2"/>
        </w:rPr>
        <w:t xml:space="preserve">I, </w:t>
      </w:r>
      <w:r>
        <w:rPr>
          <w:rFonts w:ascii="Arial;sans-serif" w:hAnsi="Arial;sans-serif"/>
          <w:b w:val="false"/>
          <w:color w:val="000000"/>
          <w:sz w:val="22"/>
          <w:u w:val="single"/>
        </w:rPr>
        <w:t>/s/ Sandeep Menon</w:t>
      </w:r>
      <w:r>
        <w:rPr>
          <w:rFonts w:ascii="Arial;sans-serif" w:hAnsi="Arial;sans-serif"/>
          <w:b w:val="false"/>
          <w:color w:val="000000"/>
          <w:sz w:val="22"/>
        </w:rPr>
        <w:t>, propose to bring to my BioCryst employment the following tangible materials and previously unpublished documents, which materials and documents may be used in my BioCryst employment: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__X___ No materials _____ See below _____ Additional sheets attached </w:t>
      </w:r>
    </w:p>
    <w:p>
      <w:pPr>
        <w:pStyle w:val="TextBody"/>
        <w:bidi w:val="0"/>
        <w:spacing w:lineRule="auto" w:line="288" w:before="0" w:after="0"/>
        <w:jc w:val="left"/>
        <w:rPr>
          <w:color w:val="000000"/>
        </w:rPr>
      </w:pP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The signature below by a representative of my current or former employer confirms that my continued possession and use of these materials is authorized.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2"/>
        </w:rPr>
        <w:t>AUTHORIZATION: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2"/>
        </w:rPr>
        <w:t xml:space="preserve">_______________________ </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2"/>
        </w:rPr>
        <w:t>Signature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2"/>
        </w:rPr>
        <w:t xml:space="preserve">_______________________ </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2"/>
        </w:rPr>
        <w:t>Title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2"/>
        </w:rPr>
        <w:t xml:space="preserve">_______________________ </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2"/>
        </w:rPr>
        <w:t>Employer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2"/>
        </w:rPr>
        <w:t>Very truly yours,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2"/>
          <w:u w:val="single"/>
        </w:rPr>
        <w:t>/s/ Sandeep Menon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88620"/>
                <wp:effectExtent l="0" t="0" r="0" b="0"/>
                <wp:wrapNone/>
                <wp:docPr id="99" name="Frame99"/>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Exhibit B</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(Non-Competition and Non-Solicitation Agreement)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This Non-Competition and Non-Solicitation Agreement (this “Agreement”) is made and entered into as of April 6, 2026 (the “Effective Date) by and between, Sandeep Menon (the “Employee”) and the member of the Company Group (as defined below) employing Employee (the “Company”). The Company and Employee are sometimes referred to in this Agreement individually as a “Party” and collectively as “Parties.”</w:t>
      </w:r>
    </w:p>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RECITALS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 xml:space="preserve">WHEREAS, </w:t>
      </w:r>
      <w:r>
        <w:rPr>
          <w:rFonts w:ascii="Arial;sans-serif" w:hAnsi="Arial;sans-serif"/>
          <w:b w:val="false"/>
          <w:color w:val="000000"/>
          <w:sz w:val="22"/>
        </w:rPr>
        <w:t>the Company is a member of the Company Group which is comprised of BioCryst Pharmaceuticals, Inc. and its existing and future subsidiaries and affiliates (individually or collectively, “Company Group”). For the purposes of this Agreement, employment with the Company Group shall mean employment by any member of the Company Group. Throughout this Agreement, BioCryst Pharmaceuticals, Inc. may be referred to as “Parent;”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WHEREAS,</w:t>
      </w:r>
      <w:r>
        <w:rPr>
          <w:color w:val="000000"/>
        </w:rPr>
        <w:t xml:space="preserve"> </w:t>
      </w:r>
      <w:r>
        <w:rPr>
          <w:rFonts w:ascii="Arial;sans-serif" w:hAnsi="Arial;sans-serif"/>
          <w:b w:val="false"/>
          <w:color w:val="000000"/>
          <w:sz w:val="22"/>
        </w:rPr>
        <w:t>Employee is beginning an employment relationship with the Company (the “Employment Agreement”) as Chief Research &amp; Development Officer which requires that Employee sign this Agreement as a condition of such employment, and is simultaneously entering into an Employee’s Proprietary Information and Inventions Agreement (the “PIIA”) with a member of the Company Group; and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WHEREAS</w:t>
      </w:r>
      <w:r>
        <w:rPr>
          <w:rFonts w:ascii="Arial;sans-serif" w:hAnsi="Arial;sans-serif"/>
          <w:b w:val="false"/>
          <w:color w:val="000000"/>
          <w:sz w:val="22"/>
        </w:rPr>
        <w:t>, in consideration for Employee’s promises and obligations set forth herein, the Company is offering Employee severance pay as specifically described in the Employment Agreement, including that portion of the severance pay set forth in Section 4(b)(ii) of the Employment Agreement to which Employee was not previously entitled.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NOW THEREFORE</w:t>
      </w:r>
      <w:r>
        <w:rPr>
          <w:rFonts w:ascii="Arial;sans-serif" w:hAnsi="Arial;sans-serif"/>
          <w:b w:val="false"/>
          <w:color w:val="000000"/>
          <w:sz w:val="22"/>
        </w:rPr>
        <w:t>, in consideration of the foregoing recitals (which are incorporated herein by reference) and the mutual promises and obligations set forth below and other good and valuable consideration, the receipt and sufficiency of which the Parties acknowledge, the Company and Employee agree as follows:</w:t>
      </w:r>
    </w:p>
    <w:p>
      <w:pPr>
        <w:pStyle w:val="TextBody"/>
        <w:bidi w:val="0"/>
        <w:spacing w:before="0" w:after="0"/>
        <w:jc w:val="both"/>
        <w:rPr/>
      </w:pPr>
      <w:r>
        <w:rPr/>
      </w:r>
    </w:p>
    <w:p>
      <w:pPr>
        <w:pStyle w:val="TextBody"/>
        <w:bidi w:val="0"/>
        <w:spacing w:lineRule="auto" w:line="288"/>
        <w:ind w:left="0" w:right="0" w:hanging="360"/>
        <w:jc w:val="both"/>
        <w:rPr/>
      </w:pPr>
      <w:r>
        <w:rPr>
          <w:rFonts w:ascii="Arial;sans-serif" w:hAnsi="Arial;sans-serif"/>
          <w:b/>
          <w:color w:val="000000"/>
          <w:sz w:val="22"/>
        </w:rPr>
        <w:t>1.</w:t>
      </w:r>
      <w:r>
        <w:rPr>
          <w:rFonts w:ascii="Arial;sans-serif" w:hAnsi="Arial;sans-serif"/>
          <w:b/>
          <w:color w:val="000000"/>
          <w:sz w:val="22"/>
          <w:u w:val="single"/>
        </w:rPr>
        <w:t>COMPANY BUSINESS AND PROTECTABLE INTERESTS.</w:t>
      </w:r>
      <w:r>
        <w:rPr>
          <w:color w:val="000000"/>
        </w:rPr>
        <w:t xml:space="preserve"> </w:t>
      </w:r>
      <w:r>
        <w:rPr>
          <w:rFonts w:ascii="Arial;sans-serif" w:hAnsi="Arial;sans-serif"/>
          <w:b w:val="false"/>
          <w:color w:val="000000"/>
          <w:sz w:val="22"/>
        </w:rPr>
        <w:t xml:space="preserve">Employee acknowledges that: (i) by virtue of Employee’s position with the Company, Employee will have access to Proprietary Information, as that term is defined in the PIIA, which information has not become publicly available through no fault of Employee (“Confidential Information”); (ii) the Company Group is currently engaged primarily, but not exclusively, in the business of the discovery, development and commercialization of medicines and programs for rare diseases (the “Business”); (iii) during the course of Employee’s employment, the Company Group’s Business may expand or change, in which case, such expansions or changes shall correspondingly expand or (if abandoned) contract the definition of “Business” and Employee’s obligations under this Agreement; (iv) due to the nature of the Business, Confidential Information developed by the Company Group in furtherance of the treatment for a particular rare disease would have commercial value to any other entity pursuing the development of medicines for the same disease regardless of the location of that entity, and the use of that information by such an entity would have a negative commercial impact on the Company Group; (v) the Company Group has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88620"/>
                <wp:effectExtent l="0" t="0" r="0" b="0"/>
                <wp:wrapNone/>
                <wp:docPr id="100" name="Frame100"/>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clients, customers and collaborative partners throughout the United States and the world and the specific location of a competing business is not necessarily relevant to the capacity of that business to compete with the Company Group; and (vi) the provisions of this Agreement are reasonably necessary to protect the Company Group’s legitimate business interests, are reasonable as to time, territory and scope of activities which are restricted, do not interfere with public policy or public interest and are described with sufficient accuracy and definiteness to enable Employee to understand the scope of the restrictions imposed upon Employee.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color w:val="000000"/>
          <w:sz w:val="22"/>
        </w:rPr>
        <w:t>2.</w:t>
      </w:r>
      <w:r>
        <w:rPr>
          <w:rFonts w:ascii="Arial;sans-serif" w:hAnsi="Arial;sans-serif"/>
          <w:b/>
          <w:color w:val="000000"/>
          <w:sz w:val="22"/>
          <w:u w:val="single"/>
        </w:rPr>
        <w:t>COMPETITIVE BUSINESS ACTIVITIES.</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(a)Employee agrees that during the period of Employee’s employment with the Company Group and for a period of time ending on the date occurring one year after the date such Employee is no longer employed by any member of the Company Group (irrespective of the circumstances of such termination), Employee will not: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i.on Employee’s own or another’s behalf, whether as an officer, director, manager, stockholder, partner, member, associate, owner, employee, consultant, or otherwise do any of the following or provide material assistance to any other party or entity to do so:</w:t>
      </w:r>
    </w:p>
    <w:p>
      <w:pPr>
        <w:pStyle w:val="TextBody"/>
        <w:bidi w:val="0"/>
        <w:spacing w:before="0" w:after="0"/>
        <w:jc w:val="both"/>
        <w:rPr/>
      </w:pPr>
      <w:r>
        <w:rPr/>
      </w:r>
    </w:p>
    <w:p>
      <w:pPr>
        <w:pStyle w:val="TextBody"/>
        <w:bidi w:val="0"/>
        <w:spacing w:lineRule="auto" w:line="288" w:before="0" w:after="0"/>
        <w:ind w:left="0" w:right="0" w:hanging="389"/>
        <w:jc w:val="both"/>
        <w:rPr/>
      </w:pPr>
      <w:r>
        <w:rPr>
          <w:rFonts w:ascii="Arial;sans-serif" w:hAnsi="Arial;sans-serif"/>
          <w:b w:val="false"/>
          <w:color w:val="000000"/>
          <w:sz w:val="24"/>
        </w:rPr>
        <w:t>(A)</w:t>
      </w:r>
      <w:r>
        <w:rPr>
          <w:rFonts w:ascii="Arial;sans-serif" w:hAnsi="Arial;sans-serif"/>
          <w:b w:val="false"/>
          <w:color w:val="000000"/>
          <w:sz w:val="22"/>
        </w:rPr>
        <w:t>engage in the Business with respect to medicines or programs with which Employee was materially involved on behalf of the Company Group during Employee’s employment or with respect to which Employee obtained Confidential Information during Employee’s employment;</w:t>
      </w:r>
    </w:p>
    <w:p>
      <w:pPr>
        <w:pStyle w:val="TextBody"/>
        <w:bidi w:val="0"/>
        <w:spacing w:before="0" w:after="0"/>
        <w:jc w:val="both"/>
        <w:rPr/>
      </w:pPr>
      <w:r>
        <w:rPr/>
      </w:r>
    </w:p>
    <w:p>
      <w:pPr>
        <w:pStyle w:val="TextBody"/>
        <w:bidi w:val="0"/>
        <w:spacing w:lineRule="auto" w:line="288" w:before="0" w:after="0"/>
        <w:ind w:left="0" w:right="0" w:hanging="389"/>
        <w:jc w:val="both"/>
        <w:rPr/>
      </w:pPr>
      <w:r>
        <w:rPr>
          <w:rFonts w:ascii="Arial;sans-serif" w:hAnsi="Arial;sans-serif"/>
          <w:b w:val="false"/>
          <w:color w:val="000000"/>
          <w:sz w:val="24"/>
        </w:rPr>
        <w:t>(B)</w:t>
      </w:r>
      <w:r>
        <w:rPr>
          <w:rFonts w:ascii="Arial;sans-serif" w:hAnsi="Arial;sans-serif"/>
          <w:b w:val="false"/>
          <w:color w:val="000000"/>
          <w:sz w:val="22"/>
        </w:rPr>
        <w:t>solicit or do business which is the same, similar to or otherwise in competition with the Business, from or with persons or entities: (a) who are clients, customers or collaborative partners of the Company Group; (b) with whom or which Employee or someone for whom Employee was responsible solicited, negotiated, contracted, serviced or had material contact with on the Company Group’s behalf; (c) with respect to whom or which Employee obtained Confidential Information during and as a consequence of Employee’s employment with the Company Group; or (d) who at any time during the last year of Employee’s employment with the Company Group, were clients, customers or collaborative partners of the Company Group; nor shall Employee request, induce, or solicit such persons or entities to curtail or cancel their business with the Company Group;</w:t>
      </w:r>
    </w:p>
    <w:p>
      <w:pPr>
        <w:pStyle w:val="TextBody"/>
        <w:bidi w:val="0"/>
        <w:spacing w:before="0" w:after="0"/>
        <w:jc w:val="left"/>
        <w:rPr/>
      </w:pPr>
      <w:r>
        <w:rPr/>
      </w:r>
    </w:p>
    <w:p>
      <w:pPr>
        <w:pStyle w:val="TextBody"/>
        <w:bidi w:val="0"/>
        <w:spacing w:lineRule="auto" w:line="288"/>
        <w:ind w:left="0" w:right="0" w:hanging="389"/>
        <w:jc w:val="both"/>
        <w:rPr/>
      </w:pPr>
      <w:r>
        <w:rPr>
          <w:rFonts w:ascii="Arial;sans-serif" w:hAnsi="Arial;sans-serif"/>
          <w:b w:val="false"/>
          <w:color w:val="000000"/>
          <w:sz w:val="24"/>
        </w:rPr>
        <w:t>(C)</w:t>
      </w:r>
      <w:r>
        <w:rPr>
          <w:rFonts w:ascii="Arial;sans-serif" w:hAnsi="Arial;sans-serif"/>
          <w:b w:val="false"/>
          <w:color w:val="000000"/>
          <w:sz w:val="22"/>
        </w:rPr>
        <w:t xml:space="preserve">offer employment to, hire or otherwise solicit for employment any employee or other person who had been employed or retained by the Company Group during the last year of Employee’s employment with the Company Group and with whom Employee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88620"/>
                <wp:effectExtent l="0" t="0" r="0" b="0"/>
                <wp:wrapNone/>
                <wp:docPr id="101" name="Frame101"/>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had material contacts during the course of Employee’s employment; nor shall Employee request, induce, or solicit any employee or independent contractor of the Company Group who had been employed or retained by the Company Group during the last year of Employee’s employment with the Company Group and with whom Employee had material contacts during the course of Employee's employment to terminate his or her employment or independent contractor relationship with the Company Group; or</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ii.take any action, which is materially detrimental, or otherwise intended to be adverse to the Company Group’s goodwill, name, business relations, prospects and operations.</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 xml:space="preserve">(b)The restrictions set forth in Section 2(a)(i)(A) apply to the following separate and distinct geographical areas: (i) the world; (ii) North America (iii) Europe; (iv) the United States; (v) the United Kingdom; (vi) Japan; (vii) the State of North Carolina; (viii) the State of Alabama; (ix) within a 60-mile radius of any location of the Company Group in which Employee had an office or performed material services during Employee’s employment with the Company Group; (x) any city, metropolitan area, county, state or country in which Employee’s substantial services were provided, or for which Employee had substantial responsibility, or in which Employee worked on Company Group projects, while employed by the Company Group; (xi) any city, metropolitan area, county, state or country in which the Company Group is located or does or, during Employee’s employment with the Company Group, did business. </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(c)The restrictions set forth in Section 2(a)(i)(A) apply only to prohibit Employee from engaging in activities that are materially similar to the activities in which Employee engaged on behalf of the Company Group or with respect to which Employee would reasonably be expected to use Confidential Information.</w:t>
      </w:r>
    </w:p>
    <w:p>
      <w:pPr>
        <w:pStyle w:val="TextBody"/>
        <w:bidi w:val="0"/>
        <w:spacing w:before="0" w:after="0"/>
        <w:jc w:val="left"/>
        <w:rPr/>
      </w:pPr>
      <w:r>
        <w:rPr/>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(d)Notwithstanding the foregoing, Employee’s ownership, directly or indirectly, of not more than one percent of the issued and outstanding stock of a corporation the shares of which are regularly traded on a national securities exchange or in the over-the-counter market shall not violate Section 2(a).</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For the avoidance of doubt, and notwithstanding any provision of this Agreement to the contrary, a transfer or assignment of employment, or an assignment of this Agreement, from the Company to a member of the Company Group or from one member of the Company Group to another member of the Company Group (in one or multiple instances), shall not be a termination of employment for the purposes of triggering the one year post-employment competitive business restrictions set forth above.</w:t>
      </w:r>
    </w:p>
    <w:p>
      <w:pPr>
        <w:pStyle w:val="TextBody"/>
        <w:bidi w:val="0"/>
        <w:spacing w:before="0" w:after="0"/>
        <w:jc w:val="both"/>
        <w:rPr/>
      </w:pPr>
      <w:r>
        <w:rPr/>
      </w:r>
    </w:p>
    <w:p>
      <w:pPr>
        <w:pStyle w:val="TextBody"/>
        <w:bidi w:val="0"/>
        <w:spacing w:lineRule="auto" w:line="288"/>
        <w:ind w:left="0" w:right="0" w:hanging="360"/>
        <w:jc w:val="both"/>
        <w:rPr/>
      </w:pPr>
      <w:r>
        <w:rPr>
          <w:rFonts w:ascii="Arial;sans-serif" w:hAnsi="Arial;sans-serif"/>
          <w:b/>
          <w:color w:val="000000"/>
          <w:sz w:val="22"/>
        </w:rPr>
        <w:t>3.</w:t>
      </w:r>
      <w:r>
        <w:rPr>
          <w:rFonts w:ascii="Arial;sans-serif" w:hAnsi="Arial;sans-serif"/>
          <w:b/>
          <w:color w:val="000000"/>
          <w:sz w:val="22"/>
          <w:u w:val="single"/>
        </w:rPr>
        <w:t>REMEDIES.</w:t>
      </w:r>
      <w:r>
        <w:rPr>
          <w:color w:val="000000"/>
        </w:rPr>
        <w:t xml:space="preserve"> </w:t>
      </w:r>
      <w:r>
        <w:rPr>
          <w:rFonts w:ascii="Arial;sans-serif" w:hAnsi="Arial;sans-serif"/>
          <w:b w:val="false"/>
          <w:color w:val="000000"/>
          <w:sz w:val="22"/>
        </w:rPr>
        <w:t xml:space="preserve">Employee acknowledges that Employee’s failure to abide by this Agreement would cause irreparable harm to the Company Group for which legal remedies would be inadequate. Therefore, in addition to any legal or other relief to which the Company Group may be entitled by virtue of Employee’s failure to abide by these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88620"/>
                <wp:effectExtent l="0" t="0" r="0" b="0"/>
                <wp:wrapNone/>
                <wp:docPr id="102" name="Frame102"/>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provisions; the Company Group, or any member thereof, may seek equitable relief, including, but not limited to, preliminary and permanent injunctive relief, for Employee’s actual or threatened failure to abide by these provisions, and Employee will indemnify the Company Group for all expenses including attorneys’ fees in seeking to enforce these provisions.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color w:val="000000"/>
          <w:sz w:val="22"/>
        </w:rPr>
        <w:t>4.</w:t>
      </w:r>
      <w:r>
        <w:rPr>
          <w:rFonts w:ascii="Arial;sans-serif" w:hAnsi="Arial;sans-serif"/>
          <w:b/>
          <w:color w:val="000000"/>
          <w:sz w:val="22"/>
          <w:u w:val="single"/>
        </w:rPr>
        <w:t xml:space="preserve">TOLLING. </w:t>
      </w:r>
      <w:r>
        <w:rPr>
          <w:rFonts w:ascii="Arial;sans-serif" w:hAnsi="Arial;sans-serif"/>
          <w:b w:val="false"/>
          <w:color w:val="000000"/>
          <w:sz w:val="22"/>
        </w:rPr>
        <w:t xml:space="preserve">The period during which Employee must refrain from the activities set forth in Section 2(a) shall be tolled during any period in which Employee fails to abide by such provisions. </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Arial;sans-serif" w:hAnsi="Arial;sans-serif"/>
          <w:b/>
          <w:color w:val="000000"/>
          <w:sz w:val="22"/>
        </w:rPr>
        <w:t>5.</w:t>
      </w:r>
      <w:r>
        <w:rPr>
          <w:rFonts w:ascii="Arial;sans-serif" w:hAnsi="Arial;sans-serif"/>
          <w:b/>
          <w:color w:val="000000"/>
          <w:sz w:val="22"/>
          <w:u w:val="single"/>
        </w:rPr>
        <w:t>VIOLATION BY COMPANY.</w:t>
      </w:r>
      <w:r>
        <w:rPr>
          <w:color w:val="000000"/>
        </w:rPr>
        <w:t xml:space="preserve"> </w:t>
      </w:r>
      <w:r>
        <w:rPr>
          <w:rFonts w:ascii="Arial;sans-serif" w:hAnsi="Arial;sans-serif"/>
          <w:b w:val="false"/>
          <w:color w:val="000000"/>
          <w:sz w:val="22"/>
        </w:rPr>
        <w:t>In the event that Employee alleges and proves a violation by the Company Group of any obligation of the Company Group to Employee by agreement or operation of law, such violation shall not excuse Employee from Employee’s obligations pursuant to this Agreement, but rather Employee shall be entitled to remedies available for the specific violation alleged and proven.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color w:val="000000"/>
          <w:sz w:val="22"/>
        </w:rPr>
        <w:t>6.</w:t>
      </w:r>
      <w:r>
        <w:rPr>
          <w:rFonts w:ascii="Arial;sans-serif" w:hAnsi="Arial;sans-serif"/>
          <w:b/>
          <w:color w:val="000000"/>
          <w:sz w:val="22"/>
          <w:u w:val="single"/>
        </w:rPr>
        <w:t>OTHER AGREEMENTS.</w:t>
      </w:r>
      <w:r>
        <w:rPr>
          <w:color w:val="000000"/>
        </w:rPr>
        <w:t xml:space="preserve"> </w:t>
      </w:r>
      <w:r>
        <w:rPr>
          <w:rFonts w:ascii="Arial;sans-serif" w:hAnsi="Arial;sans-serif"/>
          <w:b w:val="false"/>
          <w:color w:val="000000"/>
          <w:sz w:val="22"/>
        </w:rPr>
        <w:t>Nothing in this Agreement shall terminate, revoke, or diminish Employee’s obligations or the Company Group’s rights and remedies under law or pursuant to the PIIA, relating to trade secrets or proprietary information.</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Arial;sans-serif" w:hAnsi="Arial;sans-serif"/>
          <w:b/>
          <w:color w:val="000000"/>
          <w:sz w:val="22"/>
        </w:rPr>
        <w:t>7.</w:t>
      </w:r>
      <w:r>
        <w:rPr>
          <w:rFonts w:ascii="Arial;sans-serif" w:hAnsi="Arial;sans-serif"/>
          <w:b/>
          <w:color w:val="000000"/>
          <w:sz w:val="22"/>
          <w:u w:val="single"/>
        </w:rPr>
        <w:t>ENTIRE AGREEMENT.</w:t>
      </w:r>
      <w:r>
        <w:rPr>
          <w:color w:val="000000"/>
        </w:rPr>
        <w:t xml:space="preserve"> </w:t>
      </w:r>
      <w:r>
        <w:rPr>
          <w:rFonts w:ascii="Arial;sans-serif" w:hAnsi="Arial;sans-serif"/>
          <w:b w:val="false"/>
          <w:color w:val="000000"/>
          <w:sz w:val="22"/>
        </w:rPr>
        <w:t>This Agreement, the PIIA, and the Employment Agreement together constitute the exclusive and complete agreement between the Parties with respect to the subject matter contained herein and therein, and supersedes any prior agreements or understandings regarding such subject matter. No change or modification of this Agreement shall be valid or binding upon the Parties unless such change or modification is in writing and is signed by the Parties.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color w:val="000000"/>
          <w:sz w:val="22"/>
        </w:rPr>
        <w:t>8.</w:t>
      </w:r>
      <w:r>
        <w:rPr>
          <w:rFonts w:ascii="Arial;sans-serif" w:hAnsi="Arial;sans-serif"/>
          <w:b/>
          <w:color w:val="000000"/>
          <w:sz w:val="22"/>
          <w:u w:val="single"/>
        </w:rPr>
        <w:t>WAIVER OF BREACH.</w:t>
      </w:r>
      <w:r>
        <w:rPr>
          <w:color w:val="000000"/>
        </w:rPr>
        <w:t xml:space="preserve"> </w:t>
      </w:r>
      <w:r>
        <w:rPr>
          <w:rFonts w:ascii="Arial;sans-serif" w:hAnsi="Arial;sans-serif"/>
          <w:b w:val="false"/>
          <w:color w:val="000000"/>
          <w:sz w:val="22"/>
        </w:rPr>
        <w:t>The Company’s or Employee’s waiver of any breach of a provision of this Agreement shall not waive any subsequent breach by the other Party.</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color w:val="000000"/>
          <w:sz w:val="22"/>
        </w:rPr>
        <w:t>9.</w:t>
      </w:r>
      <w:r>
        <w:rPr>
          <w:rFonts w:ascii="Arial;sans-serif" w:hAnsi="Arial;sans-serif"/>
          <w:b/>
          <w:color w:val="000000"/>
          <w:sz w:val="22"/>
          <w:u w:val="single"/>
        </w:rPr>
        <w:t>SEVERABILITY.</w:t>
      </w:r>
      <w:r>
        <w:rPr>
          <w:color w:val="000000"/>
        </w:rPr>
        <w:t xml:space="preserve"> </w:t>
      </w:r>
      <w:r>
        <w:rPr>
          <w:rFonts w:ascii="Arial;sans-serif" w:hAnsi="Arial;sans-serif"/>
          <w:b w:val="false"/>
          <w:color w:val="000000"/>
          <w:sz w:val="22"/>
        </w:rPr>
        <w:t>If a court of competent jurisdiction holds that any provision or sub-part thereof contained in this Agreement is invalid, illegal, or unenforceable, that invalidity, illegality, or unenforceability shall not affect any other provision in this Agreement. Additionally, if any of the provisions of this Agreement are held unenforceable by a court of competent jurisdiction, then the Parties desire that such provision, clause, or phrase be “blue- penciled” or rewritten by the court to the extent necessary to render it enforceable.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color w:val="000000"/>
          <w:sz w:val="22"/>
        </w:rPr>
        <w:t>10.</w:t>
      </w:r>
      <w:r>
        <w:rPr>
          <w:rFonts w:ascii="Arial;sans-serif" w:hAnsi="Arial;sans-serif"/>
          <w:b/>
          <w:color w:val="000000"/>
          <w:sz w:val="22"/>
          <w:u w:val="single"/>
        </w:rPr>
        <w:t>THIRD-PARTY BENEFICIARIES; SUCCESSORS AND ASSIGNS.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(a)The Parties agree that members of the Company Group are intended third-party beneficiaries of this Agreement with rights to enforce the terms of this Agreement to the maximum extent allowed by law.</w:t>
      </w:r>
    </w:p>
    <w:p>
      <w:pPr>
        <w:pStyle w:val="TextBody"/>
        <w:bidi w:val="0"/>
        <w:spacing w:before="0" w:after="0"/>
        <w:jc w:val="both"/>
        <w:rPr/>
      </w:pPr>
      <w:r>
        <w:rPr/>
      </w:r>
    </w:p>
    <w:p>
      <w:pPr>
        <w:pStyle w:val="TextBody"/>
        <w:bidi w:val="0"/>
        <w:spacing w:lineRule="auto" w:line="288"/>
        <w:ind w:left="0" w:right="0" w:hanging="360"/>
        <w:jc w:val="both"/>
        <w:rPr>
          <w:rFonts w:ascii="Arial;sans-serif" w:hAnsi="Arial;sans-serif"/>
          <w:b w:val="false"/>
          <w:color w:val="000000"/>
          <w:sz w:val="22"/>
        </w:rPr>
      </w:pPr>
      <w:r>
        <w:rPr>
          <w:rFonts w:ascii="Arial;sans-serif" w:hAnsi="Arial;sans-serif"/>
          <w:b w:val="false"/>
          <w:color w:val="000000"/>
          <w:sz w:val="22"/>
        </w:rPr>
        <w:t xml:space="preserve">(b)The Parties agree that this Agreement is binding upon and shall inure to the benefit of the Company, its successors and assigns. The Company shall be entitled to freely assign, in whole or in part, this Agreement and/or any right hereunder to any member of the Company Group, or to any successor of all or substantially all of the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88620"/>
                <wp:effectExtent l="0" t="0" r="0" b="0"/>
                <wp:wrapNone/>
                <wp:docPr id="103" name="Frame103"/>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or assets of the Company or any member of the Company Group (and any such assignee shall be entitled to freely further so assign, in one or multiple instances). The assignee shall assume the Company’s obligations attendant to the rights being assigned. In the event this Agreement is assigned to any member of the Company Group, or in the event a successor-in-interest to either the Company or any member of the Company Group becomes Employee’s employer under this Agreement, then the following shall apply from and after the effective date of the assignment or transfer of rights to the successor-in-interest, as the case may be: all references in this Agreement to the Company shall be deemed to mean the assignee or successor-in-interest, as the case may be, without any need for an amendment to accomplish such substitution.</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(c)Employee irrevocably consents to any such assignment and the substitution of the assignee for the Company as to rights that are assigned, and Employee also irrevocably consents to the discharge of the Company as to any obligations or liabilities under or by reason of this Agreement arising on or after the date of the assignment. In the event of any assignment from the Company to a member of the Company Group, the Company shall be an intended third-party beneficiary of this Agreement with rights to enforce the terms of this Agreement to the maximum extent allowed by law.</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color w:val="000000"/>
          <w:sz w:val="22"/>
        </w:rPr>
        <w:t>11.</w:t>
      </w:r>
      <w:r>
        <w:rPr>
          <w:rFonts w:ascii="Arial;sans-serif" w:hAnsi="Arial;sans-serif"/>
          <w:b/>
          <w:color w:val="000000"/>
          <w:sz w:val="22"/>
          <w:u w:val="single"/>
        </w:rPr>
        <w:t>PARTIES BOUND.</w:t>
      </w:r>
      <w:r>
        <w:rPr>
          <w:color w:val="000000"/>
        </w:rPr>
        <w:t xml:space="preserve"> </w:t>
      </w:r>
      <w:r>
        <w:rPr>
          <w:rFonts w:ascii="Arial;sans-serif" w:hAnsi="Arial;sans-serif"/>
          <w:b w:val="false"/>
          <w:color w:val="000000"/>
          <w:sz w:val="22"/>
        </w:rPr>
        <w:t>The terms, provisions, covenants and agreements contained in this Agreement shall apply to, be binding upon and inure to the benefit of the Company’s successors and assigns, and Employee’s heirs, executors, administrators, and other legal representatives. Employee may not assign this Agreement.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color w:val="000000"/>
          <w:sz w:val="22"/>
        </w:rPr>
        <w:t>12.</w:t>
      </w:r>
      <w:r>
        <w:rPr>
          <w:rFonts w:ascii="Arial;sans-serif" w:hAnsi="Arial;sans-serif"/>
          <w:b/>
          <w:color w:val="000000"/>
          <w:sz w:val="22"/>
          <w:u w:val="single"/>
        </w:rPr>
        <w:t>GOVERNING LAW.</w:t>
      </w:r>
      <w:r>
        <w:rPr>
          <w:color w:val="000000"/>
        </w:rPr>
        <w:t xml:space="preserve"> </w:t>
      </w:r>
      <w:r>
        <w:rPr>
          <w:rFonts w:ascii="Arial;sans-serif" w:hAnsi="Arial;sans-serif"/>
          <w:b w:val="false"/>
          <w:color w:val="000000"/>
          <w:sz w:val="22"/>
        </w:rPr>
        <w:t>This Agreement and the employment relationship created by it shall be interpreted and construed in accordance with the laws of the</w:t>
      </w:r>
      <w:r>
        <w:rPr>
          <w:color w:val="000000"/>
        </w:rPr>
        <w:t xml:space="preserve"> </w:t>
      </w:r>
      <w:r>
        <w:rPr>
          <w:rFonts w:ascii="Arial;sans-serif" w:hAnsi="Arial;sans-serif"/>
          <w:b w:val="false"/>
          <w:color w:val="000000"/>
          <w:sz w:val="22"/>
        </w:rPr>
        <w:t>Commonwealth of Massachusetts, including its statutes of limitations, without giving effect to any conflict-of-laws rule that would result in the application of the laws of a different jurisdiction. The Parties consent to sole and exclusive jurisdiction in Suffolk County, Massachusetts for the purpose of any litigation relating to this Agreement and agree that any litigation by or involving them relating to this Agreement shall be conducted in the state courts of the</w:t>
      </w:r>
      <w:r>
        <w:rPr>
          <w:color w:val="000000"/>
        </w:rPr>
        <w:t xml:space="preserve"> </w:t>
      </w:r>
      <w:r>
        <w:rPr>
          <w:rFonts w:ascii="Arial;sans-serif" w:hAnsi="Arial;sans-serif"/>
          <w:b w:val="false"/>
          <w:color w:val="000000"/>
          <w:sz w:val="22"/>
        </w:rPr>
        <w:t xml:space="preserve">Commonwealth of Massachusetts or the appropriate federal district court located in Suffolk County, Massachusetts. Employee consents to the exercise of personal jurisdiction in any state or federal court located in Suffolk County, Massachusetts and waives any objection based upon personal jurisdiction or </w:t>
      </w:r>
      <w:r>
        <w:rPr>
          <w:rFonts w:ascii="Arial;sans-serif" w:hAnsi="Arial;sans-serif"/>
          <w:b w:val="false"/>
          <w:i/>
          <w:color w:val="000000"/>
          <w:sz w:val="22"/>
        </w:rPr>
        <w:t xml:space="preserve">forum non conveniens </w:t>
      </w:r>
      <w:r>
        <w:rPr>
          <w:rFonts w:ascii="Arial;sans-serif" w:hAnsi="Arial;sans-serif"/>
          <w:b w:val="false"/>
          <w:color w:val="000000"/>
          <w:sz w:val="22"/>
        </w:rPr>
        <w:t>with respect to any action commenced in such courts.</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Arial;sans-serif" w:hAnsi="Arial;sans-serif"/>
          <w:b/>
          <w:color w:val="000000"/>
          <w:sz w:val="22"/>
        </w:rPr>
        <w:t>13.</w:t>
      </w:r>
      <w:r>
        <w:rPr>
          <w:rFonts w:ascii="Arial;sans-serif" w:hAnsi="Arial;sans-serif"/>
          <w:b/>
          <w:color w:val="000000"/>
          <w:sz w:val="22"/>
          <w:u w:val="single"/>
        </w:rPr>
        <w:t>COUNTERPARTS.</w:t>
      </w:r>
      <w:r>
        <w:rPr>
          <w:color w:val="000000"/>
        </w:rPr>
        <w:t xml:space="preserve"> </w:t>
      </w:r>
      <w:r>
        <w:rPr>
          <w:rFonts w:ascii="Arial;sans-serif" w:hAnsi="Arial;sans-serif"/>
          <w:b w:val="false"/>
          <w:color w:val="000000"/>
          <w:sz w:val="22"/>
        </w:rPr>
        <w:t>This Agreement may be executed in counterparts, each of which shall be an original, with the same effect as if the signatures affixed thereto were upon the same instrument. Any such counterpart, to the extent delivered by .pdf or similar attachment to electronic mail shall be treated in all manner and respects as an original executed counterpart and shall be considered to have the same binding legal effect as if it were the original signed version thereof delivered in person.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88620"/>
                <wp:effectExtent l="0" t="0" r="0" b="0"/>
                <wp:wrapNone/>
                <wp:docPr id="104" name="Frame104"/>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pPr>
      <w:r>
        <w:rPr>
          <w:rFonts w:ascii="Arial;sans-serif" w:hAnsi="Arial;sans-serif"/>
          <w:b/>
          <w:color w:val="000000"/>
          <w:sz w:val="22"/>
        </w:rPr>
        <w:t>14.</w:t>
      </w:r>
      <w:r>
        <w:rPr>
          <w:rFonts w:ascii="Arial;sans-serif" w:hAnsi="Arial;sans-serif"/>
          <w:b/>
          <w:color w:val="000000"/>
          <w:sz w:val="22"/>
          <w:u w:val="single"/>
        </w:rPr>
        <w:t>EMPLOYEE ACKNOWLEDGMENT.</w:t>
      </w:r>
      <w:r>
        <w:rPr>
          <w:color w:val="000000"/>
        </w:rPr>
        <w:t xml:space="preserve"> </w:t>
      </w:r>
      <w:r>
        <w:rPr>
          <w:rFonts w:ascii="Arial;sans-serif" w:hAnsi="Arial;sans-serif"/>
          <w:b w:val="false"/>
          <w:color w:val="000000"/>
          <w:sz w:val="22"/>
        </w:rPr>
        <w:t>Employee understands and agrees that this Agreement is not a contract of employment for any particular term and that employment by the Company is, for all purposes, “at will.”</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[SIGNATURES ON FOLLOWING PAGE]</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88620"/>
                <wp:effectExtent l="0" t="0" r="0" b="0"/>
                <wp:wrapNone/>
                <wp:docPr id="105" name="Frame105"/>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Arial;sans-serif" w:hAnsi="Arial;sans-serif"/>
          <w:b/>
          <w:color w:val="000000"/>
          <w:sz w:val="22"/>
        </w:rPr>
        <w:t>IN WITNESS WHEREOF</w:t>
      </w:r>
      <w:r>
        <w:rPr>
          <w:rFonts w:ascii="Arial;sans-serif" w:hAnsi="Arial;sans-serif"/>
          <w:b w:val="false"/>
          <w:color w:val="000000"/>
          <w:sz w:val="22"/>
        </w:rPr>
        <w:t>, the Parties have entered into this Non-Competition and Non-Solicitation Agreement knowingly and voluntarily as of the day and year first written above.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EMPLOYEE:</w:t>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Sandeep Menon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Signature: _</w:t>
      </w:r>
      <w:r>
        <w:rPr>
          <w:rFonts w:ascii="Arial;sans-serif" w:hAnsi="Arial;sans-serif"/>
          <w:b w:val="false"/>
          <w:color w:val="000000"/>
          <w:sz w:val="22"/>
          <w:u w:val="single"/>
        </w:rPr>
        <w:t>/s/ Sandeep Menon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Date: March 19, 2026</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EMPLOYER:</w:t>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BIOCRYST PHARMACEUTICALS, INC.</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 xml:space="preserve">Signature: </w:t>
      </w:r>
      <w:r>
        <w:rPr>
          <w:rFonts w:ascii="Arial;sans-serif" w:hAnsi="Arial;sans-serif"/>
          <w:b w:val="false"/>
          <w:color w:val="000000"/>
          <w:sz w:val="22"/>
          <w:u w:val="single"/>
        </w:rPr>
        <w:t>_/s/ Stephanie Angelini</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Name: Steph Angelini</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Title: Chief People &amp; Corporate Communications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Date: March 19, 2026</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88620"/>
                <wp:effectExtent l="0" t="0" r="0" b="0"/>
                <wp:wrapNone/>
                <wp:docPr id="106" name="Frame106"/>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Charles Gayer,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BioCryst Pharmaceuticals,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139" w:type="dxa"/>
        <w:jc w:val="left"/>
        <w:tblInd w:w="0" w:type="dxa"/>
        <w:tblLayout w:type="fixed"/>
        <w:tblCellMar>
          <w:top w:w="28" w:type="dxa"/>
          <w:left w:w="28" w:type="dxa"/>
          <w:bottom w:w="28" w:type="dxa"/>
          <w:right w:w="28" w:type="dxa"/>
        </w:tblCellMar>
      </w:tblPr>
      <w:tblGrid>
        <w:gridCol w:w="203"/>
        <w:gridCol w:w="179"/>
        <w:gridCol w:w="179"/>
        <w:gridCol w:w="179"/>
        <w:gridCol w:w="179"/>
        <w:gridCol w:w="179"/>
        <w:gridCol w:w="179"/>
        <w:gridCol w:w="179"/>
        <w:gridCol w:w="179"/>
        <w:gridCol w:w="266"/>
        <w:gridCol w:w="266"/>
        <w:gridCol w:w="266"/>
        <w:gridCol w:w="266"/>
        <w:gridCol w:w="266"/>
        <w:gridCol w:w="266"/>
        <w:gridCol w:w="266"/>
        <w:gridCol w:w="266"/>
        <w:gridCol w:w="376"/>
      </w:tblGrid>
      <w:tr>
        <w:trPr/>
        <w:tc>
          <w:tcPr>
            <w:tcW w:w="20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9"/>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25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/s/ Charles Gayer</w:t>
            </w:r>
          </w:p>
        </w:tc>
      </w:tr>
      <w:tr>
        <w:trPr/>
        <w:tc>
          <w:tcPr>
            <w:tcW w:w="16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Charles Gayer</w:t>
            </w:r>
          </w:p>
        </w:tc>
      </w:tr>
      <w:tr>
        <w:trPr/>
        <w:tc>
          <w:tcPr>
            <w:tcW w:w="16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Babar Ghias,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BioCryst Pharmaceuticals,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938" w:type="dxa"/>
        <w:jc w:val="left"/>
        <w:tblInd w:w="0" w:type="dxa"/>
        <w:tblLayout w:type="fixed"/>
        <w:tblCellMar>
          <w:top w:w="28" w:type="dxa"/>
          <w:left w:w="28" w:type="dxa"/>
          <w:bottom w:w="28" w:type="dxa"/>
          <w:right w:w="28" w:type="dxa"/>
        </w:tblCellMar>
      </w:tblPr>
      <w:tblGrid>
        <w:gridCol w:w="203"/>
        <w:gridCol w:w="179"/>
        <w:gridCol w:w="179"/>
        <w:gridCol w:w="179"/>
        <w:gridCol w:w="179"/>
        <w:gridCol w:w="179"/>
        <w:gridCol w:w="179"/>
        <w:gridCol w:w="179"/>
        <w:gridCol w:w="179"/>
        <w:gridCol w:w="563"/>
        <w:gridCol w:w="563"/>
        <w:gridCol w:w="563"/>
        <w:gridCol w:w="563"/>
        <w:gridCol w:w="563"/>
        <w:gridCol w:w="563"/>
        <w:gridCol w:w="563"/>
        <w:gridCol w:w="563"/>
        <w:gridCol w:w="799"/>
      </w:tblGrid>
      <w:tr>
        <w:trPr/>
        <w:tc>
          <w:tcPr>
            <w:tcW w:w="20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r>
      <w:tr>
        <w:trPr/>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9"/>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53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/s/ Babar Ghias</w:t>
            </w:r>
          </w:p>
        </w:tc>
      </w:tr>
      <w:tr>
        <w:trPr/>
        <w:tc>
          <w:tcPr>
            <w:tcW w:w="16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Babar Ghias</w:t>
            </w:r>
          </w:p>
        </w:tc>
      </w:tr>
      <w:tr>
        <w:trPr/>
        <w:tc>
          <w:tcPr>
            <w:tcW w:w="16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3"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BioCryst Pharmaceuticals, Inc. (the “Company”) on Form 10-Q for the period ended March 31, 2026, as filed with the Securities and Exchange Commission on the date hereof (the “Report”), I, Charles Gayer, Chief Executive Officer of the Company, certify, pursuant to 18 U.S.C. § 1350, as adopted pursuant to §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3828" w:type="dxa"/>
        <w:jc w:val="left"/>
        <w:tblInd w:w="0" w:type="dxa"/>
        <w:tblLayout w:type="fixed"/>
        <w:tblCellMar>
          <w:top w:w="28" w:type="dxa"/>
          <w:left w:w="28" w:type="dxa"/>
          <w:bottom w:w="28" w:type="dxa"/>
          <w:right w:w="28" w:type="dxa"/>
        </w:tblCellMar>
      </w:tblPr>
      <w:tblGrid>
        <w:gridCol w:w="307"/>
        <w:gridCol w:w="271"/>
        <w:gridCol w:w="271"/>
        <w:gridCol w:w="271"/>
        <w:gridCol w:w="271"/>
        <w:gridCol w:w="271"/>
        <w:gridCol w:w="271"/>
        <w:gridCol w:w="271"/>
        <w:gridCol w:w="271"/>
        <w:gridCol w:w="109"/>
        <w:gridCol w:w="109"/>
        <w:gridCol w:w="109"/>
        <w:gridCol w:w="109"/>
        <w:gridCol w:w="109"/>
        <w:gridCol w:w="109"/>
        <w:gridCol w:w="109"/>
        <w:gridCol w:w="109"/>
        <w:gridCol w:w="109"/>
        <w:gridCol w:w="109"/>
        <w:gridCol w:w="109"/>
        <w:gridCol w:w="154"/>
      </w:tblGrid>
      <w:tr>
        <w:trPr/>
        <w:tc>
          <w:tcPr>
            <w:tcW w:w="30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9" w:type="dxa"/>
            <w:gridSpan w:val="3"/>
            <w:tcBorders/>
            <w:tcMar>
              <w:top w:w="0" w:type="dxa"/>
              <w:left w:w="0" w:type="dxa"/>
              <w:bottom w:w="0" w:type="dxa"/>
              <w:right w:w="0" w:type="dxa"/>
            </w:tcMar>
            <w:vAlign w:val="center"/>
          </w:tcPr>
          <w:p>
            <w:pPr>
              <w:pStyle w:val="TableContents"/>
              <w:bidi w:val="0"/>
              <w:spacing w:before="0" w:after="0"/>
              <w:ind w:left="0" w:right="0" w:hanging="360"/>
              <w:jc w:val="left"/>
              <w:rPr/>
            </w:pPr>
            <w:r>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/s/ Charles Gayer</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Charles Gayer</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9"/>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BioCryst Pharmaceuticals, Inc. (the “Company”) on Form 10-Q for the period ended March 31, 2026, as filed with the Securities and Exchange Commission on the date hereof (the “Report”), I, Babar Ghias, Chief Financial Officer of the Company, certify, pursuant to 18 U.S.C. § 1350, as adopted pursuant to §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6302" w:type="dxa"/>
        <w:jc w:val="left"/>
        <w:tblInd w:w="0" w:type="dxa"/>
        <w:tblLayout w:type="fixed"/>
        <w:tblCellMar>
          <w:top w:w="28" w:type="dxa"/>
          <w:left w:w="28" w:type="dxa"/>
          <w:bottom w:w="28" w:type="dxa"/>
          <w:right w:w="28" w:type="dxa"/>
        </w:tblCellMar>
      </w:tblPr>
      <w:tblGrid>
        <w:gridCol w:w="660"/>
        <w:gridCol w:w="577"/>
        <w:gridCol w:w="577"/>
        <w:gridCol w:w="577"/>
        <w:gridCol w:w="577"/>
        <w:gridCol w:w="577"/>
        <w:gridCol w:w="577"/>
        <w:gridCol w:w="577"/>
        <w:gridCol w:w="577"/>
        <w:gridCol w:w="109"/>
        <w:gridCol w:w="109"/>
        <w:gridCol w:w="109"/>
        <w:gridCol w:w="109"/>
        <w:gridCol w:w="109"/>
        <w:gridCol w:w="109"/>
        <w:gridCol w:w="109"/>
        <w:gridCol w:w="109"/>
        <w:gridCol w:w="154"/>
      </w:tblGrid>
      <w:tr>
        <w:trPr/>
        <w:tc>
          <w:tcPr>
            <w:tcW w:w="66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0"/>
              <w:ind w:left="0" w:right="0" w:hanging="360"/>
              <w:jc w:val="left"/>
              <w:rPr/>
            </w:pPr>
            <w:r>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/s/ Babar Ghias</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Babar Ghias</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6" w:type="dxa"/>
            <w:gridSpan w:val="9"/>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6" w:type="dxa"/>
            <w:gridSpan w:val="9"/>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6" w:type="dxa"/>
            <w:gridSpan w:val="9"/>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82796/000103570406000836/d42297exv3w1.htm" TargetMode="External"/><Relationship Id="rId3" Type="http://schemas.openxmlformats.org/officeDocument/2006/relationships/hyperlink" Target="https://www.sec.gov/Archives/edgar/data/882796/000136231007001386/c70813exv3w1.htm" TargetMode="External"/><Relationship Id="rId4" Type="http://schemas.openxmlformats.org/officeDocument/2006/relationships/hyperlink" Target="https://www.sec.gov/Archives/edgar/data/882796/000119312514186707/d722313dex31.htm" TargetMode="External"/><Relationship Id="rId5" Type="http://schemas.openxmlformats.org/officeDocument/2006/relationships/hyperlink" Target="https://www.sec.gov/Archives/edgar/data/882796/000117184320003680/exh_31.htm" TargetMode="External"/><Relationship Id="rId6" Type="http://schemas.openxmlformats.org/officeDocument/2006/relationships/hyperlink" Target="http://www.sec.gov/Archives/edgar/data/882796/000117184320003680/exh_32.htm" TargetMode="External"/><Relationship Id="rId7" Type="http://schemas.openxmlformats.org/officeDocument/2006/relationships/hyperlink" Target="https://www.sec.gov/Archives/edgar/data/882796/000117184320003680/exh_32.htm" TargetMode="External"/><Relationship Id="rId8" Type="http://schemas.openxmlformats.org/officeDocument/2006/relationships/hyperlink" Target="https://www.sec.gov/Archives/edgar/data/882796/000117184324000297/exh_31.htm" TargetMode="External"/><Relationship Id="rId9" Type="http://schemas.openxmlformats.org/officeDocument/2006/relationships/hyperlink" Target="https://www.sec.gov/Archives/edgar/data/882796/000162828026012240/exhibit1034-employmentlett.htm" TargetMode="External"/><Relationship Id="rId10" Type="http://schemas.openxmlformats.org/officeDocument/2006/relationships/hyperlink" Target="https://www.sec.gov/Archives/edgar/data/882796/000162828026012240/exhibit1034-employmentlett.htm" TargetMode="External"/><Relationship Id="rId11" Type="http://schemas.openxmlformats.org/officeDocument/2006/relationships/hyperlink" Target="https://www.sec.gov/Archives/edgar/data/882796/000162828026012240/exhibit1034-employmentlett.htm" TargetMode="External"/><Relationship Id="rId12" Type="http://schemas.openxmlformats.org/officeDocument/2006/relationships/hyperlink" Target="https://www.sec.gov/Archives/edgar/data/882796/000162828026012240/exhibit1034-employmentlett.htm" TargetMode="External"/><Relationship Id="rId13" Type="http://schemas.openxmlformats.org/officeDocument/2006/relationships/hyperlink" Target="https://www.sec.gov/Archives/edgar/data/882796/000162828026012240/exhibit1034-employmentlett.htm" TargetMode="External"/><Relationship Id="rId14" Type="http://schemas.openxmlformats.org/officeDocument/2006/relationships/hyperlink" Target="https://www.sec.gov/Archives/edgar/data/882796/000162828026012240/exhibit1034-employmentlett.htm" TargetMode="External"/><Relationship Id="rId15" Type="http://schemas.openxmlformats.org/officeDocument/2006/relationships/hyperlink" Target="https://www.sec.gov/Archives/edgar/data/882796/000162828026012240/exhibit1034-employmentlett.htm" TargetMode="External"/><Relationship Id="rId16" Type="http://schemas.openxmlformats.org/officeDocument/2006/relationships/hyperlink" Target="https://www.sec.gov/Archives/edgar/data/882796/000162828026012240/exhibit1034-employmentlett.htm" TargetMode="External"/><Relationship Id="rId17" Type="http://schemas.openxmlformats.org/officeDocument/2006/relationships/hyperlink" Target="https://www.sec.gov/Archives/edgar/data/882796/000162828026012240/exhibit1034-employmentlett.htm" TargetMode="External"/><Relationship Id="rId18" Type="http://schemas.openxmlformats.org/officeDocument/2006/relationships/hyperlink" Target="https://www.sec.gov/Archives/edgar/data/882796/000162828026012240/exhibit1034-employmentlett.htm" TargetMode="External"/><Relationship Id="rId19" Type="http://schemas.openxmlformats.org/officeDocument/2006/relationships/hyperlink" Target="https://www.sec.gov/Archives/edgar/data/882796/000162828026012240/exhibit1034-employmentlett.htm" TargetMode="External"/><Relationship Id="rId20" Type="http://schemas.openxmlformats.org/officeDocument/2006/relationships/hyperlink" Target="https://www.sec.gov/Archives/edgar/data/882796/000162828026012240/exhibit1034-employmentlett.htm" TargetMode="External"/><Relationship Id="rId21" Type="http://schemas.openxmlformats.org/officeDocument/2006/relationships/hyperlink" Target="https://www.sec.gov/Archives/edgar/data/882796/000162828026012240/exhibit1034-employmentlett.htm" TargetMode="External"/><Relationship Id="rId22" Type="http://schemas.openxmlformats.org/officeDocument/2006/relationships/hyperlink" Target="https://www.sec.gov/Archives/edgar/data/882796/000162828026012240/exhibit1034-employmentlett.htm" TargetMode="External"/><Relationship Id="rId23" Type="http://schemas.openxmlformats.org/officeDocument/2006/relationships/hyperlink" Target="https://www.sec.gov/Archives/edgar/data/882796/000162828026012240/exhibit1034-employmentlett.htm" TargetMode="External"/><Relationship Id="rId24" Type="http://schemas.openxmlformats.org/officeDocument/2006/relationships/hyperlink" Target="https://www.sec.gov/Archives/edgar/data/882796/000162828026012240/exhibit1034-employmentlett.htm" TargetMode="External"/><Relationship Id="rId25" Type="http://schemas.openxmlformats.org/officeDocument/2006/relationships/hyperlink" Target="https://www.sec.gov/Archives/edgar/data/882796/000162828026012240/exhibit1039-rondullingerem.htm" TargetMode="External"/><Relationship Id="rId26" Type="http://schemas.openxmlformats.org/officeDocument/2006/relationships/hyperlink" Target="https://www.sec.gov/Archives/edgar/data/882796/000162828026012240/exhibit1039-rondullingerem.htm" TargetMode="External"/><Relationship Id="rId27" Type="http://schemas.openxmlformats.org/officeDocument/2006/relationships/hyperlink" Target="https://www.sec.gov/Archives/edgar/data/882796/000162828026012240/exhibit1039-rondullingerem.htm" TargetMode="External"/><Relationship Id="rId28" Type="http://schemas.openxmlformats.org/officeDocument/2006/relationships/hyperlink" Target="https://www.sec.gov/Archives/edgar/data/882796/000162828026012240/exhibit1039-rondullingerem.htm" TargetMode="External"/><Relationship Id="rId29" Type="http://schemas.openxmlformats.org/officeDocument/2006/relationships/hyperlink" Target="https://www.sec.gov/Archives/edgar/data/882796/000162828026012240/exhibit1039-rondullingerem.htm" TargetMode="External"/><Relationship Id="rId30" Type="http://schemas.openxmlformats.org/officeDocument/2006/relationships/hyperlink" Target="https://www.sec.gov/Archives/edgar/data/882796/000162828026012240/exhibit1039-rondullingerem.htm" TargetMode="External"/><Relationship Id="rId31" Type="http://schemas.openxmlformats.org/officeDocument/2006/relationships/hyperlink" Target="https://www.sec.gov/Archives/edgar/data/882796/000162828026012240/exhibit1039-rondullingerem.htm" TargetMode="External"/><Relationship Id="rId32" Type="http://schemas.openxmlformats.org/officeDocument/2006/relationships/hyperlink" Target="https://www.sec.gov/Archives/edgar/data/882796/000162828026012240/exhibit1039-rondullingerem.htm" TargetMode="External"/><Relationship Id="rId33" Type="http://schemas.openxmlformats.org/officeDocument/2006/relationships/hyperlink" Target="https://www.sec.gov/Archives/edgar/data/882796/000162828026012240/exhibit1039-rondullingerem.htm" TargetMode="External"/><Relationship Id="rId34" Type="http://schemas.openxmlformats.org/officeDocument/2006/relationships/hyperlink" Target="https://www.sec.gov/Archives/edgar/data/882796/000162828026012240/exhibit1039-rondullingerem.htm" TargetMode="External"/><Relationship Id="rId35" Type="http://schemas.openxmlformats.org/officeDocument/2006/relationships/hyperlink" Target="https://www.sec.gov/Archives/edgar/data/882796/000162828026012240/exhibit1039-rondullingerem.htm" TargetMode="External"/><Relationship Id="rId36" Type="http://schemas.openxmlformats.org/officeDocument/2006/relationships/hyperlink" Target="https://www.sec.gov/Archives/edgar/data/882796/000162828026012240/exhibit1039-rondullingerem.htm" TargetMode="External"/><Relationship Id="rId37" Type="http://schemas.openxmlformats.org/officeDocument/2006/relationships/hyperlink" Target="https://www.sec.gov/Archives/edgar/data/882796/000162828026012240/exhibit1039-rondullingerem.htm" TargetMode="External"/><Relationship Id="rId38" Type="http://schemas.openxmlformats.org/officeDocument/2006/relationships/hyperlink" Target="https://www.sec.gov/Archives/edgar/data/882796/000162828026012240/exhibit1039-rondullingerem.htm" TargetMode="External"/><Relationship Id="rId39" Type="http://schemas.openxmlformats.org/officeDocument/2006/relationships/hyperlink" Target="https://www.sec.gov/Archives/edgar/data/882796/000162828026012240/exhibit1039-rondullingerem.htm" TargetMode="External"/><Relationship Id="rId40" Type="http://schemas.openxmlformats.org/officeDocument/2006/relationships/hyperlink" Target="https://www.sec.gov/Archives/edgar/data/882796/000162828026012240/exhibit1055-loanagreementr.htm" TargetMode="External"/><Relationship Id="rId41" Type="http://schemas.openxmlformats.org/officeDocument/2006/relationships/hyperlink" Target="https://www.sec.gov/Archives/edgar/data/882796/000162828026012240/exhibit1055-loanagreementr.htm" TargetMode="External"/><Relationship Id="rId42" Type="http://schemas.openxmlformats.org/officeDocument/2006/relationships/hyperlink" Target="https://www.sec.gov/Archives/edgar/data/882796/000162828026012240/exhibit1055-loanagreementr.htm" TargetMode="External"/><Relationship Id="rId43" Type="http://schemas.openxmlformats.org/officeDocument/2006/relationships/hyperlink" Target="https://www.sec.gov/Archives/edgar/data/882796/000162828026012240/exhibit1055-loanagreementr.htm" TargetMode="External"/><Relationship Id="rId44" Type="http://schemas.openxmlformats.org/officeDocument/2006/relationships/hyperlink" Target="https://www.sec.gov/Archives/edgar/data/882796/000162828026012240/exhibit1056-joinderagreeme.htm" TargetMode="External"/><Relationship Id="rId45" Type="http://schemas.openxmlformats.org/officeDocument/2006/relationships/hyperlink" Target="https://www.sec.gov/Archives/edgar/data/882796/000162828026012240/exhibit1056-joinderagreeme.htm" TargetMode="External"/><Relationship Id="rId46" Type="http://schemas.openxmlformats.org/officeDocument/2006/relationships/hyperlink" Target="https://www.sec.gov/Archives/edgar/data/882796/000162828026012240/exhibit1056-joinderagreeme.htm" TargetMode="External"/><Relationship Id="rId47" Type="http://schemas.openxmlformats.org/officeDocument/2006/relationships/hyperlink" Target="https://www.sec.gov/Archives/edgar/data/882796/000162828026012240/exhibit1056-joinderagreeme.htm" TargetMode="External"/><Relationship Id="rId48" Type="http://schemas.openxmlformats.org/officeDocument/2006/relationships/hyperlink" Target="https://www.sec.gov/Archives/edgar/data/882796/000162828026012240/exhibit1056-joinderagreeme.htm" TargetMode="External"/><Relationship Id="rId49" Type="http://schemas.openxmlformats.org/officeDocument/2006/relationships/hyperlink" Target="https://www.sec.gov/Archives/edgar/data/882796/000162828026012240/exhibit1057-joinderagreeme.htm" TargetMode="External"/><Relationship Id="rId50" Type="http://schemas.openxmlformats.org/officeDocument/2006/relationships/hyperlink" Target="https://www.sec.gov/Archives/edgar/data/882796/000162828026012240/exhibit1057-joinderagreeme.htm" TargetMode="External"/><Relationship Id="rId51" Type="http://schemas.openxmlformats.org/officeDocument/2006/relationships/hyperlink" Target="https://www.sec.gov/Archives/edgar/data/882796/000162828026012240/exhibit1057-joinderagreeme.htm" TargetMode="External"/><Relationship Id="rId52" Type="http://schemas.openxmlformats.org/officeDocument/2006/relationships/hyperlink" Target="https://www.sec.gov/Archives/edgar/data/882796/000162828026012240/exhibit1057-joinderagreeme.htm" TargetMode="External"/><Relationship Id="rId53" Type="http://schemas.openxmlformats.org/officeDocument/2006/relationships/hyperlink" Target="https://www.sec.gov/Archives/edgar/data/882796/000162828026012240/exhibit1057-joinderagreeme.htm" TargetMode="External"/><Relationship Id="rId54" Type="http://schemas.openxmlformats.org/officeDocument/2006/relationships/fontTable" Target="fontTable.xml"/><Relationship Id="rId5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62068</Words>
  <Characters>350135</Characters>
  <CharactersWithSpaces>410900</CharactersWithSpaces>
  <Paragraphs>2819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