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right="23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2340" w:firstLine="8"/>
        <w:spacing w:after="0" w:line="498"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______________________ to ______________________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Commission File Number 000-23186</w:t>
            </w:r>
          </w:p>
        </w:tc>
        <w:tc>
          <w:tcPr>
            <w:tcW w:w="368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368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80" w:type="dxa"/>
            <w:vAlign w:val="bottom"/>
          </w:tcPr>
          <w:p>
            <w:pPr>
              <w:spacing w:after="0"/>
              <w:rPr>
                <w:sz w:val="20"/>
                <w:szCs w:val="20"/>
                <w:color w:val="auto"/>
              </w:rPr>
            </w:pPr>
          </w:p>
        </w:tc>
      </w:tr>
      <w:tr>
        <w:trPr>
          <w:trHeight w:val="414"/>
        </w:trPr>
        <w:tc>
          <w:tcPr>
            <w:tcW w:w="42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60" w:type="dxa"/>
            <w:vAlign w:val="bottom"/>
          </w:tcPr>
          <w:p>
            <w:pPr>
              <w:spacing w:after="0"/>
              <w:rPr>
                <w:sz w:val="24"/>
                <w:szCs w:val="24"/>
                <w:color w:val="auto"/>
              </w:rPr>
            </w:pPr>
          </w:p>
        </w:tc>
        <w:tc>
          <w:tcPr>
            <w:tcW w:w="368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62-1413174</w:t>
            </w:r>
          </w:p>
        </w:tc>
      </w:tr>
      <w:tr>
        <w:trPr>
          <w:trHeight w:val="216"/>
        </w:trPr>
        <w:tc>
          <w:tcPr>
            <w:tcW w:w="42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60" w:type="dxa"/>
            <w:vAlign w:val="bottom"/>
          </w:tcPr>
          <w:p>
            <w:pPr>
              <w:spacing w:after="0"/>
              <w:rPr>
                <w:sz w:val="18"/>
                <w:szCs w:val="18"/>
                <w:color w:val="auto"/>
              </w:rPr>
            </w:pPr>
          </w:p>
        </w:tc>
        <w:tc>
          <w:tcPr>
            <w:tcW w:w="36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60" w:type="dxa"/>
            <w:vAlign w:val="bottom"/>
          </w:tcPr>
          <w:p>
            <w:pPr>
              <w:spacing w:after="0"/>
              <w:rPr>
                <w:sz w:val="20"/>
                <w:szCs w:val="20"/>
                <w:color w:val="auto"/>
              </w:rPr>
            </w:pPr>
          </w:p>
        </w:tc>
        <w:tc>
          <w:tcPr>
            <w:tcW w:w="36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0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4505 Emperor Blvd., Suite 200</w:t>
            </w:r>
          </w:p>
        </w:tc>
        <w:tc>
          <w:tcPr>
            <w:tcW w:w="33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0"/>
        </w:trPr>
        <w:tc>
          <w:tcPr>
            <w:tcW w:w="42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3360" w:type="dxa"/>
            <w:vAlign w:val="bottom"/>
          </w:tcPr>
          <w:p>
            <w:pPr>
              <w:spacing w:after="0"/>
              <w:rPr>
                <w:sz w:val="19"/>
                <w:szCs w:val="19"/>
                <w:color w:val="auto"/>
              </w:rPr>
            </w:pPr>
          </w:p>
        </w:tc>
        <w:tc>
          <w:tcPr>
            <w:tcW w:w="368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27703</w:t>
            </w:r>
          </w:p>
        </w:tc>
      </w:tr>
      <w:tr>
        <w:trPr>
          <w:trHeight w:val="234"/>
        </w:trPr>
        <w:tc>
          <w:tcPr>
            <w:tcW w:w="756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+1-919-859-1302</w:t>
            </w:r>
          </w:p>
        </w:tc>
        <w:tc>
          <w:tcPr>
            <w:tcW w:w="368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8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3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3"/>
        </w:trPr>
        <w:tc>
          <w:tcPr>
            <w:tcW w:w="3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r>
      <w:tr>
        <w:trPr>
          <w:trHeight w:val="190"/>
        </w:trPr>
        <w:tc>
          <w:tcPr>
            <w:tcW w:w="37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48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ind w:right="41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6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48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ind w:right="410"/>
              <w:spacing w:after="0" w:line="193" w:lineRule="exact"/>
              <w:rPr>
                <w:sz w:val="20"/>
                <w:szCs w:val="20"/>
                <w:color w:val="auto"/>
              </w:rPr>
            </w:pPr>
            <w:r>
              <w:rPr>
                <w:rFonts w:ascii="Times New Roman" w:cs="Times New Roman" w:eastAsia="Times New Roman" w:hAnsi="Times New Roman"/>
                <w:sz w:val="18"/>
                <w:szCs w:val="18"/>
                <w:color w:val="auto"/>
              </w:rPr>
              <w:t>BCRX</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56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par value $0.01, of the Registrant outstanding as of April 29, 2022 was 185,583,896.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40" w:type="dxa"/>
            <w:vAlign w:val="bottom"/>
            <w:gridSpan w:val="8"/>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r>
      <w:tr>
        <w:trPr>
          <w:trHeight w:val="412"/>
        </w:trPr>
        <w:tc>
          <w:tcPr>
            <w:tcW w:w="4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4940" w:type="dxa"/>
            <w:vAlign w:val="bottom"/>
            <w:gridSpan w:val="7"/>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196"/>
        </w:trPr>
        <w:tc>
          <w:tcPr>
            <w:tcW w:w="9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 Summary</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20"/>
        </w:trPr>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6980" w:type="dxa"/>
            <w:vAlign w:val="bottom"/>
            <w:gridSpan w:val="10"/>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516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 March 31, 2022 and December 31, 2021</w:t>
            </w:r>
          </w:p>
        </w:tc>
        <w:tc>
          <w:tcPr>
            <w:tcW w:w="3780" w:type="dxa"/>
            <w:vAlign w:val="bottom"/>
            <w:gridSpan w:val="5"/>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12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 Three Months Ended March 31, 2022 and 2021</w:t>
            </w:r>
          </w:p>
        </w:tc>
        <w:tc>
          <w:tcPr>
            <w:tcW w:w="1820" w:type="dxa"/>
            <w:vAlign w:val="bottom"/>
            <w:gridSpan w:val="2"/>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12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 Three Months Ended March 31, 2022 and 2021</w:t>
            </w:r>
          </w:p>
        </w:tc>
        <w:tc>
          <w:tcPr>
            <w:tcW w:w="1820" w:type="dxa"/>
            <w:vAlign w:val="bottom"/>
            <w:gridSpan w:val="2"/>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1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 – Three Months Ended March 31, 2022 and 2021</w:t>
            </w:r>
          </w:p>
        </w:tc>
        <w:tc>
          <w:tcPr>
            <w:tcW w:w="1780" w:type="dxa"/>
            <w:vAlign w:val="bottom"/>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940" w:type="dxa"/>
            <w:vAlign w:val="bottom"/>
            <w:gridSpan w:val="8"/>
          </w:tcPr>
          <w:p>
            <w:pPr>
              <w:spacing w:after="0"/>
              <w:rPr>
                <w:sz w:val="17"/>
                <w:szCs w:val="17"/>
                <w:color w:val="auto"/>
              </w:rPr>
            </w:pP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2080" w:type="dxa"/>
            <w:vAlign w:val="bottom"/>
            <w:gridSpan w:val="3"/>
          </w:tcPr>
          <w:p>
            <w:pPr>
              <w:spacing w:after="0"/>
              <w:rPr>
                <w:sz w:val="17"/>
                <w:szCs w:val="17"/>
                <w:color w:val="auto"/>
              </w:rPr>
            </w:pPr>
          </w:p>
        </w:tc>
        <w:tc>
          <w:tcPr>
            <w:tcW w:w="196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196"/>
        </w:trPr>
        <w:tc>
          <w:tcPr>
            <w:tcW w:w="4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4180" w:type="dxa"/>
            <w:vAlign w:val="bottom"/>
            <w:gridSpan w:val="6"/>
          </w:tcPr>
          <w:p>
            <w:pPr>
              <w:spacing w:after="0"/>
              <w:rPr>
                <w:sz w:val="17"/>
                <w:szCs w:val="17"/>
                <w:color w:val="auto"/>
              </w:rPr>
            </w:pPr>
          </w:p>
        </w:tc>
        <w:tc>
          <w:tcPr>
            <w:tcW w:w="196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760" w:type="dxa"/>
            <w:vAlign w:val="bottom"/>
            <w:gridSpan w:val="9"/>
          </w:tcPr>
          <w:p>
            <w:pPr>
              <w:spacing w:after="0"/>
              <w:rPr>
                <w:sz w:val="17"/>
                <w:szCs w:val="17"/>
                <w:color w:val="auto"/>
              </w:rPr>
            </w:pPr>
          </w:p>
        </w:tc>
        <w:tc>
          <w:tcPr>
            <w:tcW w:w="196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9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36</w:t>
            </w:r>
          </w:p>
        </w:tc>
      </w:tr>
      <w:tr>
        <w:trPr>
          <w:trHeight w:val="196"/>
        </w:trPr>
        <w:tc>
          <w:tcPr>
            <w:tcW w:w="1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260" w:type="dxa"/>
            <w:vAlign w:val="bottom"/>
            <w:tcBorders>
              <w:top w:val="single" w:sz="8" w:color="0000EE"/>
            </w:tcBorders>
          </w:tcPr>
          <w:p>
            <w:pPr>
              <w:spacing w:after="0"/>
              <w:rPr>
                <w:sz w:val="17"/>
                <w:szCs w:val="17"/>
                <w:color w:val="auto"/>
              </w:rPr>
            </w:pPr>
          </w:p>
        </w:tc>
        <w:tc>
          <w:tcPr>
            <w:tcW w:w="7240" w:type="dxa"/>
            <w:vAlign w:val="bottom"/>
            <w:gridSpan w:val="12"/>
          </w:tcPr>
          <w:p>
            <w:pPr>
              <w:spacing w:after="0"/>
              <w:rPr>
                <w:sz w:val="17"/>
                <w:szCs w:val="17"/>
                <w:color w:val="auto"/>
              </w:rPr>
            </w:pPr>
          </w:p>
        </w:tc>
        <w:tc>
          <w:tcPr>
            <w:tcW w:w="196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196"/>
        </w:trPr>
        <w:tc>
          <w:tcPr>
            <w:tcW w:w="9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21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196"/>
        </w:trPr>
        <w:tc>
          <w:tcPr>
            <w:tcW w:w="11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940" w:type="dxa"/>
            <w:vAlign w:val="bottom"/>
            <w:gridSpan w:val="15"/>
          </w:tcPr>
          <w:p>
            <w:pPr>
              <w:spacing w:after="0"/>
              <w:rPr>
                <w:sz w:val="17"/>
                <w:szCs w:val="17"/>
                <w:color w:val="auto"/>
              </w:rPr>
            </w:pPr>
          </w:p>
        </w:tc>
        <w:tc>
          <w:tcPr>
            <w:tcW w:w="196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61</w:t>
            </w:r>
          </w:p>
        </w:tc>
      </w:tr>
      <w:tr>
        <w:trPr>
          <w:trHeight w:val="412"/>
        </w:trPr>
        <w:tc>
          <w:tcPr>
            <w:tcW w:w="7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EX-10.1</w:t>
            </w:r>
          </w:p>
        </w:tc>
        <w:tc>
          <w:tcPr>
            <w:tcW w:w="8340" w:type="dxa"/>
            <w:vAlign w:val="bottom"/>
            <w:gridSpan w:val="16"/>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When used in this report, unless otherwise indicated,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BioCryst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BioCryst Pharmaceuticals,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where appropriate, its subsidiaries.</w:t>
      </w:r>
    </w:p>
    <w:p>
      <w:pPr>
        <w:spacing w:after="0" w:line="20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94" w:lineRule="exact"/>
        <w:rPr>
          <w:sz w:val="20"/>
          <w:szCs w:val="20"/>
          <w:color w:val="auto"/>
        </w:rPr>
      </w:pPr>
    </w:p>
    <w:p>
      <w:pPr>
        <w:jc w:val="both"/>
        <w:ind w:left="300" w:right="80" w:hanging="235"/>
        <w:spacing w:after="0" w:line="312"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preclinical development, clinical development, commercialization, or post-marketing studies of our products and product candidates, including ORLADEYO® (berotralstat), BCX9930, BCX9250, peramivir, galidesivir, and early-stage discovery programs, and our plans regarding the same;</w:t>
      </w:r>
    </w:p>
    <w:p>
      <w:pPr>
        <w:spacing w:after="0" w:line="139" w:lineRule="exact"/>
        <w:rPr>
          <w:rFonts w:ascii="Times New Roman" w:cs="Times New Roman" w:eastAsia="Times New Roman" w:hAnsi="Times New Roman"/>
          <w:sz w:val="17"/>
          <w:szCs w:val="17"/>
          <w:color w:val="auto"/>
        </w:rPr>
      </w:pPr>
    </w:p>
    <w:p>
      <w:pPr>
        <w:ind w:left="300" w:right="26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commercialization of ORLADEYO in the United States and elsewhere and expectations regarding the commercial market for ORLADEYO;</w:t>
      </w:r>
    </w:p>
    <w:p>
      <w:pPr>
        <w:spacing w:after="0" w:line="161" w:lineRule="exact"/>
        <w:rPr>
          <w:rFonts w:ascii="Times New Roman" w:cs="Times New Roman" w:eastAsia="Times New Roman" w:hAnsi="Times New Roman"/>
          <w:sz w:val="18"/>
          <w:szCs w:val="18"/>
          <w:color w:val="auto"/>
        </w:rPr>
      </w:pPr>
    </w:p>
    <w:p>
      <w:pPr>
        <w:ind w:left="300" w:right="6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61" w:lineRule="exact"/>
        <w:rPr>
          <w:rFonts w:ascii="Times New Roman" w:cs="Times New Roman" w:eastAsia="Times New Roman" w:hAnsi="Times New Roman"/>
          <w:sz w:val="18"/>
          <w:szCs w:val="18"/>
          <w:color w:val="auto"/>
        </w:rPr>
      </w:pPr>
    </w:p>
    <w:p>
      <w:pPr>
        <w:ind w:left="300" w:right="200" w:hanging="235"/>
        <w:spacing w:after="0" w:line="266"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17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approvals, or milestones, royalties or profit from sales of our products by us or our partners;</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products, product candidates and technology;</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or out-license rights to our products and product candidates;</w:t>
      </w:r>
    </w:p>
    <w:p>
      <w:pPr>
        <w:spacing w:after="0" w:line="225" w:lineRule="exact"/>
        <w:rPr>
          <w:rFonts w:ascii="Times New Roman" w:cs="Times New Roman" w:eastAsia="Times New Roman" w:hAnsi="Times New Roman"/>
          <w:sz w:val="18"/>
          <w:szCs w:val="18"/>
          <w:color w:val="auto"/>
        </w:rPr>
      </w:pPr>
    </w:p>
    <w:p>
      <w:pPr>
        <w:ind w:left="300" w:right="18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61" w:lineRule="exact"/>
        <w:rPr>
          <w:rFonts w:ascii="Times New Roman" w:cs="Times New Roman" w:eastAsia="Times New Roman" w:hAnsi="Times New Roman"/>
          <w:sz w:val="18"/>
          <w:szCs w:val="18"/>
          <w:color w:val="auto"/>
        </w:rPr>
      </w:pPr>
    </w:p>
    <w:p>
      <w:pPr>
        <w:ind w:left="30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subsidiary guarantors’ ability to satisfy obligations under our Credit Agreement (as defined below) and to comply with the covenants as set forth in the agreements governing our debt obligations;</w:t>
      </w:r>
    </w:p>
    <w:p>
      <w:pPr>
        <w:spacing w:after="0" w:line="161" w:lineRule="exact"/>
        <w:rPr>
          <w:rFonts w:ascii="Times New Roman" w:cs="Times New Roman" w:eastAsia="Times New Roman" w:hAnsi="Times New Roman"/>
          <w:sz w:val="18"/>
          <w:szCs w:val="18"/>
          <w:color w:val="auto"/>
        </w:rPr>
      </w:pPr>
    </w:p>
    <w:p>
      <w:pPr>
        <w:ind w:left="300" w:right="68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product candidates, and technology;</w:t>
      </w:r>
    </w:p>
    <w:p>
      <w:pPr>
        <w:spacing w:after="0" w:line="161"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revenues, capital requirements, annual cash utilization, and our needs for additional financing;</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regulatory agreements, deferrals, approvals, and other decisions;</w:t>
      </w:r>
    </w:p>
    <w:p>
      <w:pPr>
        <w:spacing w:after="0" w:line="225" w:lineRule="exact"/>
        <w:rPr>
          <w:rFonts w:ascii="Times New Roman" w:cs="Times New Roman" w:eastAsia="Times New Roman" w:hAnsi="Times New Roman"/>
          <w:sz w:val="18"/>
          <w:szCs w:val="18"/>
          <w:color w:val="auto"/>
        </w:rPr>
      </w:pPr>
    </w:p>
    <w:p>
      <w:pPr>
        <w:ind w:left="300" w:right="680" w:hanging="235"/>
        <w:spacing w:after="0" w:line="282"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needs, including our ability to raise additional capital, to fund our operations or repay our recourse debt obligations;</w:t>
      </w:r>
    </w:p>
    <w:p>
      <w:pPr>
        <w:spacing w:after="0" w:line="161"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technologies, and our industry.</w:t>
      </w: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8" w:right="359" w:bottom="1440" w:gutter="0" w:footer="0" w:header="0"/>
        </w:sectPr>
      </w:pPr>
    </w:p>
    <w:bookmarkStart w:id="3" w:name="page4"/>
    <w:bookmarkEnd w:id="3"/>
    <w:p>
      <w:pPr>
        <w:ind w:right="20" w:firstLine="504"/>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8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80" w:lineRule="exact"/>
        <w:rPr>
          <w:sz w:val="20"/>
          <w:szCs w:val="20"/>
          <w:color w:val="auto"/>
        </w:rPr>
      </w:pPr>
    </w:p>
    <w:p>
      <w:pPr>
        <w:ind w:left="300" w:right="160" w:hanging="235"/>
        <w:spacing w:after="0" w:line="261"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spacing w:after="0" w:line="179"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and may never be profitable.</w:t>
      </w:r>
    </w:p>
    <w:p>
      <w:pPr>
        <w:spacing w:after="0" w:line="225" w:lineRule="exact"/>
        <w:rPr>
          <w:rFonts w:ascii="Times New Roman" w:cs="Times New Roman" w:eastAsia="Times New Roman" w:hAnsi="Times New Roman"/>
          <w:sz w:val="18"/>
          <w:szCs w:val="18"/>
          <w:color w:val="auto"/>
        </w:rPr>
      </w:pPr>
    </w:p>
    <w:p>
      <w:pPr>
        <w:ind w:left="300" w:hanging="23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If we are unable to raise capital when needed, we may need to adjust our operations.</w:t>
      </w:r>
    </w:p>
    <w:p>
      <w:pPr>
        <w:spacing w:after="0" w:line="225" w:lineRule="exact"/>
        <w:rPr>
          <w:rFonts w:ascii="Times New Roman" w:cs="Times New Roman" w:eastAsia="Times New Roman" w:hAnsi="Times New Roman"/>
          <w:sz w:val="18"/>
          <w:szCs w:val="18"/>
          <w:color w:val="auto"/>
        </w:rPr>
      </w:pPr>
    </w:p>
    <w:p>
      <w:pPr>
        <w:ind w:left="300" w:hanging="235"/>
        <w:spacing w:after="0" w:line="255"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p>
      <w:pPr>
        <w:spacing w:after="0" w:line="188" w:lineRule="exact"/>
        <w:rPr>
          <w:rFonts w:ascii="Times New Roman" w:cs="Times New Roman" w:eastAsia="Times New Roman" w:hAnsi="Times New Roman"/>
          <w:sz w:val="18"/>
          <w:szCs w:val="18"/>
          <w:color w:val="auto"/>
        </w:rPr>
      </w:pPr>
    </w:p>
    <w:p>
      <w:pPr>
        <w:ind w:left="300" w:right="260" w:hanging="235"/>
        <w:spacing w:after="0" w:line="258"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spacing w:after="0" w:line="183" w:lineRule="exact"/>
        <w:rPr>
          <w:rFonts w:ascii="Times New Roman" w:cs="Times New Roman" w:eastAsia="Times New Roman" w:hAnsi="Times New Roman"/>
          <w:sz w:val="18"/>
          <w:szCs w:val="18"/>
          <w:color w:val="auto"/>
        </w:rPr>
      </w:pPr>
    </w:p>
    <w:p>
      <w:pPr>
        <w:ind w:left="300" w:right="1140" w:hanging="235"/>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or acceptable partnership arrangements, we may be unable to complete the development and commercialization of our products and product candidates or continue operations.</w:t>
      </w:r>
    </w:p>
    <w:p>
      <w:pPr>
        <w:spacing w:after="0" w:line="161" w:lineRule="exact"/>
        <w:rPr>
          <w:rFonts w:ascii="Times New Roman" w:cs="Times New Roman" w:eastAsia="Times New Roman" w:hAnsi="Times New Roman"/>
          <w:sz w:val="18"/>
          <w:szCs w:val="18"/>
          <w:color w:val="auto"/>
        </w:rPr>
      </w:pPr>
    </w:p>
    <w:p>
      <w:pPr>
        <w:ind w:left="300" w:right="160" w:hanging="235"/>
        <w:spacing w:after="0" w:line="266"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p>
      <w:pPr>
        <w:spacing w:after="0" w:line="175" w:lineRule="exact"/>
        <w:rPr>
          <w:rFonts w:ascii="Times New Roman" w:cs="Times New Roman" w:eastAsia="Times New Roman" w:hAnsi="Times New Roman"/>
          <w:sz w:val="18"/>
          <w:szCs w:val="18"/>
          <w:color w:val="auto"/>
        </w:rPr>
      </w:pPr>
    </w:p>
    <w:p>
      <w:pPr>
        <w:ind w:left="300" w:hanging="235"/>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61" w:lineRule="exact"/>
        <w:rPr>
          <w:rFonts w:ascii="Times New Roman" w:cs="Times New Roman" w:eastAsia="Times New Roman" w:hAnsi="Times New Roman"/>
          <w:sz w:val="18"/>
          <w:szCs w:val="18"/>
          <w:color w:val="auto"/>
        </w:rPr>
      </w:pPr>
    </w:p>
    <w:p>
      <w:pPr>
        <w:ind w:left="300" w:right="60" w:hanging="235"/>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expanding our development and regulatory capabilities and implementing sales, marketing, and distribution capabilities, and as a result, we may encounter difficulties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300" w:right="160" w:hanging="235"/>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61" w:lineRule="exact"/>
        <w:rPr>
          <w:rFonts w:ascii="Times New Roman" w:cs="Times New Roman" w:eastAsia="Times New Roman" w:hAnsi="Times New Roman"/>
          <w:sz w:val="18"/>
          <w:szCs w:val="18"/>
          <w:color w:val="auto"/>
        </w:rPr>
      </w:pPr>
    </w:p>
    <w:p>
      <w:pPr>
        <w:ind w:left="300" w:right="140" w:hanging="235"/>
        <w:spacing w:after="0" w:line="261"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1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 w:name="page5"/>
    <w:bookmarkEnd w:id="4"/>
    <w:p>
      <w:pPr>
        <w:ind w:left="240" w:right="460" w:hanging="235"/>
        <w:spacing w:after="0" w:line="266"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p>
      <w:pPr>
        <w:spacing w:after="0" w:line="175" w:lineRule="exact"/>
        <w:rPr>
          <w:rFonts w:ascii="Times New Roman" w:cs="Times New Roman" w:eastAsia="Times New Roman" w:hAnsi="Times New Roman"/>
          <w:sz w:val="18"/>
          <w:szCs w:val="18"/>
          <w:color w:val="auto"/>
        </w:rPr>
      </w:pPr>
    </w:p>
    <w:p>
      <w:pPr>
        <w:ind w:left="24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61" w:lineRule="exact"/>
        <w:rPr>
          <w:rFonts w:ascii="Times New Roman" w:cs="Times New Roman" w:eastAsia="Times New Roman" w:hAnsi="Times New Roman"/>
          <w:sz w:val="18"/>
          <w:szCs w:val="18"/>
          <w:color w:val="auto"/>
        </w:rPr>
      </w:pPr>
    </w:p>
    <w:p>
      <w:pPr>
        <w:ind w:left="240" w:right="80" w:hanging="235"/>
        <w:spacing w:after="0" w:line="266"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75" w:lineRule="exact"/>
        <w:rPr>
          <w:rFonts w:ascii="Times New Roman" w:cs="Times New Roman" w:eastAsia="Times New Roman" w:hAnsi="Times New Roman"/>
          <w:sz w:val="18"/>
          <w:szCs w:val="18"/>
          <w:color w:val="auto"/>
        </w:rPr>
      </w:pPr>
    </w:p>
    <w:p>
      <w:pPr>
        <w:ind w:left="240" w:right="60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reach milestones or to make annual minimum payments or otherwise breach our obligations under our license agreements, our licensors may terminate our agreements with them and seek additional remedies.</w:t>
      </w:r>
    </w:p>
    <w:p>
      <w:pPr>
        <w:spacing w:after="0" w:line="161" w:lineRule="exact"/>
        <w:rPr>
          <w:rFonts w:ascii="Times New Roman" w:cs="Times New Roman" w:eastAsia="Times New Roman" w:hAnsi="Times New Roman"/>
          <w:sz w:val="18"/>
          <w:szCs w:val="18"/>
          <w:color w:val="auto"/>
        </w:rPr>
      </w:pPr>
    </w:p>
    <w:p>
      <w:pPr>
        <w:ind w:left="240" w:right="80" w:hanging="235"/>
        <w:spacing w:after="0" w:line="266"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conditions and restrictions that limit our flexibility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240" w:right="180" w:hanging="235"/>
        <w:spacing w:after="0" w:line="258"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of our business exposes us to business, regulatory, political, operational, financial, and economic risks. For example, our actual or perceived failure to comply with European governmental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83"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facilities incur damage or power is lost for a significant length of time, our business will suffer.</w:t>
      </w:r>
    </w:p>
    <w:p>
      <w:pPr>
        <w:spacing w:after="0" w:line="225"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information technology systems or a cybersecurity breach could adversely affect our business.</w:t>
      </w:r>
    </w:p>
    <w:p>
      <w:pPr>
        <w:spacing w:after="0" w:line="225" w:lineRule="exact"/>
        <w:rPr>
          <w:rFonts w:ascii="Times New Roman" w:cs="Times New Roman" w:eastAsia="Times New Roman" w:hAnsi="Times New Roman"/>
          <w:sz w:val="18"/>
          <w:szCs w:val="18"/>
          <w:color w:val="auto"/>
        </w:rPr>
      </w:pPr>
    </w:p>
    <w:p>
      <w:pPr>
        <w:ind w:left="240" w:right="18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61" w:lineRule="exact"/>
        <w:rPr>
          <w:rFonts w:ascii="Times New Roman" w:cs="Times New Roman" w:eastAsia="Times New Roman" w:hAnsi="Times New Roman"/>
          <w:sz w:val="18"/>
          <w:szCs w:val="18"/>
          <w:color w:val="auto"/>
        </w:rPr>
      </w:pPr>
    </w:p>
    <w:p>
      <w:pPr>
        <w:ind w:left="240" w:right="34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is likely to continue to be, highly volatile, which could cause the value of an investment in our common stock to decline significantly.</w:t>
      </w:r>
    </w:p>
    <w:p>
      <w:pPr>
        <w:spacing w:after="0" w:line="161" w:lineRule="exact"/>
        <w:rPr>
          <w:rFonts w:ascii="Times New Roman" w:cs="Times New Roman" w:eastAsia="Times New Roman" w:hAnsi="Times New Roman"/>
          <w:sz w:val="18"/>
          <w:szCs w:val="18"/>
          <w:color w:val="auto"/>
        </w:rPr>
      </w:pPr>
    </w:p>
    <w:p>
      <w:pPr>
        <w:ind w:left="240" w:right="12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trade wars, political unrest, or other events could disrupt our business or operations or those of our development partners, manufacturers, regulators, or third parties with whom we conduct business now or in the future.</w:t>
      </w:r>
    </w:p>
    <w:p>
      <w:pPr>
        <w:spacing w:after="0" w:line="161"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proceedings, which could harm our reputation or result in other losses or unexpected expenditure of time and resources.</w:t>
      </w:r>
    </w:p>
    <w:p>
      <w:pPr>
        <w:spacing w:after="0" w:line="225" w:lineRule="exact"/>
        <w:rPr>
          <w:rFonts w:ascii="Times New Roman" w:cs="Times New Roman" w:eastAsia="Times New Roman" w:hAnsi="Times New Roman"/>
          <w:sz w:val="18"/>
          <w:szCs w:val="18"/>
          <w:color w:val="auto"/>
        </w:rPr>
      </w:pPr>
    </w:p>
    <w:p>
      <w:pPr>
        <w:ind w:left="240" w:right="140" w:hanging="235"/>
        <w:spacing w:after="0" w:line="282"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660" w:top="580"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706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06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0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06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March 31, 2022 and December 31, 2021</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0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8"/>
        </w:trPr>
        <w:tc>
          <w:tcPr>
            <w:tcW w:w="9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(Note 1)</w:t>
            </w:r>
          </w:p>
        </w:tc>
      </w:tr>
      <w:tr>
        <w:trPr>
          <w:trHeight w:val="210"/>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504,389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29,413</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9,986</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566,136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6,829</w:t>
            </w:r>
          </w:p>
        </w:tc>
      </w:tr>
      <w:tr>
        <w:trPr>
          <w:trHeight w:val="216"/>
        </w:trPr>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6,472</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527,720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588,151</w:t>
            </w:r>
          </w:p>
        </w:tc>
      </w:tr>
      <w:tr>
        <w:trPr>
          <w:trHeight w:val="20"/>
        </w:trPr>
        <w:tc>
          <w:tcPr>
            <w:tcW w:w="9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27,808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72,670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1,819</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103,718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financing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449,375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term loan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136,082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shares authorized - 5,000; no shares issued and outstanding</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shares authorized - 450,000; shares issued and outstanding – 185,572 as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March 31, 2022 and 184,350 as of December 31, 2021</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1,115,443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1,098,498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(1,207,504)</w:t>
            </w:r>
          </w:p>
        </w:tc>
      </w:tr>
      <w:tr>
        <w:trPr>
          <w:trHeight w:val="21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(106,986)</w:t>
            </w: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527,720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588,151</w:t>
            </w:r>
          </w:p>
        </w:tc>
      </w:tr>
      <w:tr>
        <w:trPr>
          <w:trHeight w:val="20"/>
        </w:trPr>
        <w:tc>
          <w:tcPr>
            <w:tcW w:w="9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60" w:type="dxa"/>
            <w:vAlign w:val="bottom"/>
            <w:gridSpan w:val="2"/>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 and 2021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data-Unaudited)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49,546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Collaborative and other research and development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2,085</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42,435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Royalty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70,436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losses, net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available for sale investments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(64,105)</w:t>
            </w:r>
          </w:p>
        </w:tc>
      </w:tr>
      <w:tr>
        <w:trPr>
          <w:trHeight w:val="19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184,898</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177,343</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 and 2021</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thousands-Unaudited)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5,479</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Non-cash interest expense on royalty financing obligations and secured term loan and amortization of debt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premium/discount on investments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(61,011)</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14,673</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common stock issued under stock-based compensation plans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507,734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274,348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230,910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52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600" w:type="dxa"/>
            <w:vAlign w:val="bottom"/>
            <w:gridSpan w:val="10"/>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DEFICIT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4420" w:type="dxa"/>
            <w:vAlign w:val="bottom"/>
            <w:gridSpan w:val="8"/>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 and 2021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8200" w:type="dxa"/>
            <w:vAlign w:val="bottom"/>
            <w:gridSpan w:val="9"/>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amounts-Unaudited)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3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3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1,098,498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177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(1,207,504)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(106,986)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sales, 115 shares,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1,108 shares, net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5,853</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9,601</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9,601</w:t>
            </w:r>
          </w:p>
        </w:tc>
      </w:tr>
      <w:tr>
        <w:trPr>
          <w:trHeight w:val="25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1,115,443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186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(1,281,700)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(164,215)</w:t>
            </w:r>
          </w:p>
        </w:tc>
      </w:tr>
      <w:tr>
        <w:trPr>
          <w:trHeight w:val="417"/>
        </w:trPr>
        <w:tc>
          <w:tcPr>
            <w:tcW w:w="37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3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1,002,408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(1,023,442)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sales, 193 shares,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593 shares, net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5,479</w:t>
            </w: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1,010,779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182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(1,087,726)</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(74,988)</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and Concentrations of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BioCryst Pharmaceuticals, Inc. (the “Company”) is a commercial-stage biotechnology company that discovers novel, oral, small-molecule medicines. The Company focuses on the treatment of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spacing w:after="0" w:line="18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During 2021, ORLADEYO received regulatory approvals in the European Union, Japan, the United Arab Emirates and the United Kingdom. The Company is commercializing ORLADEYO in each of these territories directly or through distributors, except in Japan where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w:t>
      </w:r>
    </w:p>
    <w:p>
      <w:pPr>
        <w:spacing w:after="0" w:line="18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Based on the Company’s expectations for revenue, operating expenses, and the additional $75 million available to the Company under its existing credit facility, the Company believes its financial resources available at March 31, 2022 will be sufficient to fund its operations for at least the next 12 months. The Company has sustained operating losses for the majority of its corporate history and expects that its 2022 expenses will exceed its 2022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securing or increasing U.S. Government funding of its programs, including obtaining procurement contracts; (2) out-licensing rights to certain of its products or product candidates, pursuant to which the Company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62" w:lineRule="exact"/>
        <w:rPr>
          <w:sz w:val="20"/>
          <w:szCs w:val="20"/>
          <w:color w:val="auto"/>
        </w:rPr>
      </w:pPr>
    </w:p>
    <w:p>
      <w:pPr>
        <w:ind w:firstLine="522"/>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83" w:lineRule="exact"/>
        <w:rPr>
          <w:sz w:val="20"/>
          <w:szCs w:val="20"/>
          <w:color w:val="auto"/>
        </w:rPr>
      </w:pPr>
    </w:p>
    <w:p>
      <w:pPr>
        <w:ind w:right="160" w:firstLine="522"/>
        <w:spacing w:after="0" w:line="261"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financial statements for the year ended December 31, 2021 and the notes thereto included in the Company’s 2021 Annual Report on Form 10-K. Interim operating results are not necessarily indicative of operating results for the full year. The balance sheet as of December 31, 2021 has been derived from the audited consolidated financial statements included in the Company’s most recent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522"/>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and Factor D inhibitors royalty financing obligations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00" w:top="576"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60" w:firstLine="522"/>
        <w:spacing w:after="0" w:line="258" w:lineRule="auto"/>
        <w:rPr>
          <w:sz w:val="20"/>
          <w:szCs w:val="20"/>
          <w:color w:val="auto"/>
        </w:rPr>
      </w:pPr>
      <w:r>
        <w:rPr>
          <w:rFonts w:ascii="Times New Roman" w:cs="Times New Roman" w:eastAsia="Times New Roman" w:hAnsi="Times New Roman"/>
          <w:sz w:val="18"/>
          <w:szCs w:val="18"/>
          <w:color w:val="auto"/>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83" w:lineRule="exact"/>
        <w:rPr>
          <w:sz w:val="20"/>
          <w:szCs w:val="20"/>
          <w:color w:val="auto"/>
        </w:rPr>
      </w:pPr>
    </w:p>
    <w:p>
      <w:pPr>
        <w:ind w:right="40" w:firstLine="522"/>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spacing w:after="0" w:line="176" w:lineRule="exact"/>
        <w:rPr>
          <w:sz w:val="20"/>
          <w:szCs w:val="20"/>
          <w:color w:val="auto"/>
        </w:rPr>
      </w:pPr>
    </w:p>
    <w:p>
      <w:pPr>
        <w:ind w:firstLine="522"/>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Government and Managed Care Rebates</w:t>
      </w:r>
      <w:r>
        <w:rPr>
          <w:rFonts w:ascii="Times New Roman" w:cs="Times New Roman" w:eastAsia="Times New Roman" w:hAnsi="Times New Roman"/>
          <w:sz w:val="18"/>
          <w:szCs w:val="18"/>
          <w:color w:val="auto"/>
        </w:rPr>
        <w:t>. The Company contracts with government agencies and managed care organizations or,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85"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8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603" w:right="339" w:bottom="1440" w:gutter="0" w:footer="0" w:header="0"/>
        </w:sectPr>
      </w:pPr>
    </w:p>
    <w:bookmarkStart w:id="11" w:name="page12"/>
    <w:bookmarkEnd w:id="11"/>
    <w:p>
      <w:pPr>
        <w:ind w:right="40" w:firstLine="486"/>
        <w:spacing w:after="0" w:line="275" w:lineRule="auto"/>
        <w:rPr>
          <w:sz w:val="20"/>
          <w:szCs w:val="20"/>
          <w:color w:val="auto"/>
        </w:rPr>
      </w:pPr>
      <w:r>
        <w:rPr>
          <w:rFonts w:ascii="Times New Roman" w:cs="Times New Roman" w:eastAsia="Times New Roman" w:hAnsi="Times New Roman"/>
          <w:sz w:val="17"/>
          <w:szCs w:val="17"/>
          <w:i w:val="1"/>
          <w:iCs w:val="1"/>
          <w:color w:val="auto"/>
        </w:rPr>
        <w:t>Co-payment assistance and patient assistance programs</w:t>
      </w:r>
      <w:r>
        <w:rPr>
          <w:rFonts w:ascii="Times New Roman" w:cs="Times New Roman" w:eastAsia="Times New Roman" w:hAnsi="Times New Roman"/>
          <w:sz w:val="17"/>
          <w:szCs w:val="17"/>
          <w:color w:val="auto"/>
        </w:rPr>
        <w:t>. Patients who have commercial insurance and meet certain eligibility requirements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6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The Company does not provide contractual return rights to its customers, except in instances where the product is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Research and Development Arrangements and Royalties</w:t>
      </w:r>
    </w:p>
    <w:p>
      <w:pPr>
        <w:spacing w:after="0" w:line="22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76"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7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9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HHS (”BARDA/HHS”) and the National Institute of Allergy and Infectious Diseases (“NIAID/HHS”), revenue is recognized as reimbursable direct and indirect costs are incurred.</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522"/>
        <w:spacing w:after="0" w:line="261" w:lineRule="auto"/>
        <w:rPr>
          <w:sz w:val="20"/>
          <w:szCs w:val="20"/>
          <w:color w:val="auto"/>
        </w:rPr>
      </w:pPr>
      <w:r>
        <w:rPr>
          <w:rFonts w:ascii="Times New Roman" w:cs="Times New Roman" w:eastAsia="Times New Roman" w:hAnsi="Times New Roman"/>
          <w:sz w:val="18"/>
          <w:szCs w:val="18"/>
          <w:color w:val="auto"/>
        </w:rPr>
        <w:t>Restricted cash of $1,924 as of both March 31, 2022 and December 31, 2021 reflects royalty revenue paid by Shionogi designated for interest on the PhaRMA Notes (defined in Note 6). Additionally, restricted cash of $1,430 and $1,421 as of March 31, 2022 and December 31, 2021, respectively, reflects collateral for a letter of credit the Company is required to maintain associated with the lease execution and build-out of its Birmingham research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9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March 31, 2022, the Company believes that the cost of its investments is recoverable in all material respects.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17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Receivables from collaborations are recorded for amounts due to the Company related to reimbursable research and development costs from the HHS, and royalty receivables from the Company’s partners, including Shionogi, Green Cross, and Torii.</w:t>
      </w:r>
    </w:p>
    <w:p>
      <w:pPr>
        <w:spacing w:after="0" w:line="16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7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adjust its receivables for the effects of a significant financing component at contract inception if it expects to collect the receivables in one year or less from the time of sale.</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the drug product. Finished goods include packaged and labelled products.</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3" w:right="359" w:bottom="1440" w:gutter="0" w:footer="0" w:header="0"/>
        </w:sectPr>
      </w:pPr>
    </w:p>
    <w:bookmarkStart w:id="13" w:name="page14"/>
    <w:bookmarkEnd w:id="13"/>
    <w:p>
      <w:pPr>
        <w:ind w:left="2"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w:t>
      </w:r>
    </w:p>
    <w:p>
      <w:pPr>
        <w:spacing w:after="0" w:line="180" w:lineRule="exact"/>
        <w:rPr>
          <w:sz w:val="20"/>
          <w:szCs w:val="20"/>
          <w:color w:val="auto"/>
        </w:rPr>
      </w:pPr>
    </w:p>
    <w:p>
      <w:pPr>
        <w:jc w:val="both"/>
        <w:ind w:left="2" w:firstLine="522"/>
        <w:spacing w:after="0" w:line="266" w:lineRule="auto"/>
        <w:rPr>
          <w:sz w:val="20"/>
          <w:szCs w:val="20"/>
          <w:color w:val="auto"/>
        </w:rPr>
      </w:pPr>
      <w:r>
        <w:rPr>
          <w:rFonts w:ascii="Times New Roman" w:cs="Times New Roman" w:eastAsia="Times New Roman" w:hAnsi="Times New Roman"/>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2" w:right="14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80" w:lineRule="exact"/>
        <w:rPr>
          <w:sz w:val="20"/>
          <w:szCs w:val="20"/>
          <w:color w:val="auto"/>
        </w:rPr>
      </w:pPr>
    </w:p>
    <w:p>
      <w:pPr>
        <w:ind w:left="2" w:right="80" w:firstLine="522"/>
        <w:spacing w:after="0" w:line="258" w:lineRule="auto"/>
        <w:rPr>
          <w:sz w:val="20"/>
          <w:szCs w:val="20"/>
          <w:color w:val="auto"/>
        </w:rPr>
      </w:pPr>
      <w:r>
        <w:rPr>
          <w:rFonts w:ascii="Times New Roman" w:cs="Times New Roman" w:eastAsia="Times New Roman" w:hAnsi="Times New Roman"/>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2" w:right="40" w:firstLine="486"/>
        <w:spacing w:after="0" w:line="252" w:lineRule="auto"/>
        <w:rPr>
          <w:sz w:val="20"/>
          <w:szCs w:val="20"/>
          <w:color w:val="auto"/>
        </w:rPr>
      </w:pPr>
      <w:r>
        <w:rPr>
          <w:rFonts w:ascii="Times New Roman" w:cs="Times New Roman" w:eastAsia="Times New Roman" w:hAnsi="Times New Roman"/>
          <w:sz w:val="18"/>
          <w:szCs w:val="18"/>
          <w:color w:val="auto"/>
        </w:rPr>
        <w:t>The Company generally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w:t>
      </w:r>
    </w:p>
    <w:p>
      <w:pPr>
        <w:spacing w:after="0" w:line="5" w:lineRule="exact"/>
        <w:rPr>
          <w:sz w:val="20"/>
          <w:szCs w:val="20"/>
          <w:color w:val="auto"/>
        </w:rPr>
      </w:pPr>
    </w:p>
    <w:p>
      <w:pPr>
        <w:ind w:left="2" w:right="100" w:hanging="2"/>
        <w:spacing w:after="0" w:line="260" w:lineRule="auto"/>
        <w:tabs>
          <w:tab w:leader="none" w:pos="3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in connection with the production of the Company’s raw materials, drug substance, drug products, and product candidates; and (iv) professional fees.</w:t>
      </w:r>
    </w:p>
    <w:p>
      <w:pPr>
        <w:spacing w:after="0" w:line="181" w:lineRule="exact"/>
        <w:rPr>
          <w:sz w:val="20"/>
          <w:szCs w:val="20"/>
          <w:color w:val="auto"/>
        </w:rPr>
      </w:pPr>
    </w:p>
    <w:p>
      <w:pPr>
        <w:ind w:left="2"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March 31, 2022 and December 31, 2021, the carrying value of accrued expenses approximates their fair value due to their short-term settlement.</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ind w:left="2" w:right="80" w:firstLine="522"/>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2" w:right="60" w:firstLine="522"/>
        <w:spacing w:after="0" w:line="272" w:lineRule="auto"/>
        <w:rPr>
          <w:sz w:val="20"/>
          <w:szCs w:val="20"/>
          <w:color w:val="auto"/>
        </w:rPr>
      </w:pPr>
      <w:r>
        <w:rPr>
          <w:rFonts w:ascii="Times New Roman" w:cs="Times New Roman" w:eastAsia="Times New Roman" w:hAnsi="Times New Roman"/>
          <w:sz w:val="17"/>
          <w:szCs w:val="17"/>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72"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607" w:right="339" w:bottom="1440" w:gutter="0" w:footer="0" w:header="0"/>
        </w:sectPr>
      </w:pPr>
    </w:p>
    <w:bookmarkStart w:id="14" w:name="page15"/>
    <w:bookmarkEnd w:id="14"/>
    <w:p>
      <w:pPr>
        <w:ind w:firstLine="522"/>
        <w:spacing w:after="0" w:line="258" w:lineRule="auto"/>
        <w:rPr>
          <w:sz w:val="20"/>
          <w:szCs w:val="20"/>
          <w:color w:val="auto"/>
        </w:rPr>
      </w:pPr>
      <w:r>
        <w:rPr>
          <w:rFonts w:ascii="Times New Roman" w:cs="Times New Roman" w:eastAsia="Times New Roman" w:hAnsi="Times New Roman"/>
          <w:sz w:val="18"/>
          <w:szCs w:val="18"/>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83" w:lineRule="exact"/>
        <w:rPr>
          <w:sz w:val="20"/>
          <w:szCs w:val="20"/>
          <w:color w:val="auto"/>
        </w:rPr>
      </w:pPr>
    </w:p>
    <w:p>
      <w:pPr>
        <w:ind w:right="160" w:firstLine="522"/>
        <w:spacing w:after="0" w:line="258" w:lineRule="auto"/>
        <w:rPr>
          <w:sz w:val="20"/>
          <w:szCs w:val="20"/>
          <w:color w:val="auto"/>
        </w:rPr>
      </w:pPr>
      <w:r>
        <w:rPr>
          <w:rFonts w:ascii="Times New Roman" w:cs="Times New Roman" w:eastAsia="Times New Roman" w:hAnsi="Times New Roman"/>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80" w:firstLine="522"/>
        <w:spacing w:after="0" w:line="289" w:lineRule="auto"/>
        <w:rPr>
          <w:sz w:val="20"/>
          <w:szCs w:val="20"/>
          <w:color w:val="auto"/>
        </w:rPr>
      </w:pPr>
      <w:r>
        <w:rPr>
          <w:rFonts w:ascii="Times New Roman" w:cs="Times New Roman" w:eastAsia="Times New Roman" w:hAnsi="Times New Roman"/>
          <w:sz w:val="17"/>
          <w:szCs w:val="17"/>
          <w:color w:val="auto"/>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58" w:lineRule="exact"/>
        <w:rPr>
          <w:sz w:val="20"/>
          <w:szCs w:val="20"/>
          <w:color w:val="auto"/>
        </w:rPr>
      </w:pPr>
    </w:p>
    <w:p>
      <w:pPr>
        <w:ind w:right="1140" w:firstLine="486"/>
        <w:spacing w:after="0" w:line="282" w:lineRule="auto"/>
        <w:rPr>
          <w:sz w:val="20"/>
          <w:szCs w:val="20"/>
          <w:color w:val="auto"/>
        </w:rPr>
      </w:pPr>
      <w:r>
        <w:rPr>
          <w:rFonts w:ascii="Times New Roman" w:cs="Times New Roman" w:eastAsia="Times New Roman" w:hAnsi="Times New Roman"/>
          <w:sz w:val="18"/>
          <w:szCs w:val="18"/>
          <w:color w:val="auto"/>
        </w:rPr>
        <w:t>Advertising expenses related to ORLADEYO were $3,984 and $1,404 for the three months ended March 31, 2022 and March 31, 2021, respectively.</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certain assets under operating leases, which primarily consisted of real estate leases, laboratory equipment leases and office equipment leases as of March 31, 2022. The Company accounts for lease obligations in accordance with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 lessee to recognize a right-of-use asset and a lease liability on its balance sheet for most operating leases.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Certain of the Company’s operating leases provide for renewal options, which can vary by lease. The right-of-use asset and lease liabilities on the Company’s Consolidated Balance Sheet represent payments over the lease term, which includes renewal options for certain real estate leases that we are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8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6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has not made any residual value guarantees related to its operating leases; therefore, the Company has no corresponding liability recorded on its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firstLine="522"/>
        <w:spacing w:after="0" w:line="258"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is deemed to have occurred.</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60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Deferred Financing Costs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March 31, 2022 and March 31, 2021 was $23,837 and $12,904, respectively, and primarily relates to the royalty financing obligations (Note 6), the secured term loan borrowing from the Credit Agreement (Note 7) and the PhaRMA Notes (Note 6).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$(167) and $(58) for the three months ended March 31, 2022 and March 31, 2021, respectively.</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December 2021, the PhaRMA Notes and associated accrued interest payable was written-off into other income as a debt extinguishment (Refer to “Note 6—Royalty Monetizations—RAPIACTA—Non-Recourse Notes Payable – Debt Extinguishment” for additional information regarding the debt extinguishment).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229" w:lineRule="exact"/>
        <w:rPr>
          <w:sz w:val="20"/>
          <w:szCs w:val="20"/>
          <w:color w:val="auto"/>
        </w:rPr>
      </w:pPr>
    </w:p>
    <w:p>
      <w:pPr>
        <w:ind w:firstLine="522"/>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BCX9930, and another earlier stage Factor D inhibitor.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522"/>
        <w:spacing w:after="0" w:line="266" w:lineRule="auto"/>
        <w:rPr>
          <w:sz w:val="20"/>
          <w:szCs w:val="20"/>
          <w:color w:val="auto"/>
        </w:rPr>
      </w:pPr>
      <w:r>
        <w:rPr>
          <w:rFonts w:ascii="Times New Roman" w:cs="Times New Roman" w:eastAsia="Times New Roman" w:hAnsi="Times New Roman"/>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76" w:lineRule="exact"/>
        <w:rPr>
          <w:sz w:val="20"/>
          <w:szCs w:val="20"/>
          <w:color w:val="auto"/>
        </w:rPr>
      </w:pPr>
    </w:p>
    <w:p>
      <w:pPr>
        <w:ind w:right="240" w:firstLine="522"/>
        <w:spacing w:after="0" w:line="282" w:lineRule="auto"/>
        <w:rPr>
          <w:sz w:val="20"/>
          <w:szCs w:val="20"/>
          <w:color w:val="auto"/>
        </w:rPr>
      </w:pPr>
      <w:r>
        <w:rPr>
          <w:rFonts w:ascii="Times New Roman" w:cs="Times New Roman" w:eastAsia="Times New Roman" w:hAnsi="Times New Roman"/>
          <w:sz w:val="18"/>
          <w:szCs w:val="18"/>
          <w:color w:val="auto"/>
        </w:rPr>
        <w:t>Beginning in fiscal year 2021, the Company began accruing U.S. state income taxes and foreign income taxes as a result of increased sales of ORLADEYO and increased nexus in multiple states and foreign jurisdictions where historically the Company had no presence.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80" w:firstLine="522"/>
        <w:spacing w:after="0" w:line="258" w:lineRule="auto"/>
        <w:rPr>
          <w:sz w:val="20"/>
          <w:szCs w:val="20"/>
          <w:color w:val="auto"/>
        </w:rPr>
      </w:pPr>
      <w:r>
        <w:rPr>
          <w:rFonts w:ascii="Times New Roman" w:cs="Times New Roman" w:eastAsia="Times New Roman" w:hAnsi="Times New Roman"/>
          <w:sz w:val="18"/>
          <w:szCs w:val="18"/>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for the three months ended March 31, 2022 and 2021 does not include 28,699 and 23,741, respectively, of potential common shares, as their impact would be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29" w:lineRule="exact"/>
        <w:rPr>
          <w:sz w:val="20"/>
          <w:szCs w:val="20"/>
          <w:color w:val="auto"/>
        </w:rPr>
      </w:pPr>
    </w:p>
    <w:p>
      <w:pPr>
        <w:ind w:firstLine="522"/>
        <w:spacing w:after="0" w:line="256" w:lineRule="auto"/>
        <w:rPr>
          <w:sz w:val="20"/>
          <w:szCs w:val="20"/>
          <w:color w:val="auto"/>
        </w:rPr>
      </w:pPr>
      <w:r>
        <w:rPr>
          <w:rFonts w:ascii="Times New Roman" w:cs="Times New Roman" w:eastAsia="Times New Roman" w:hAnsi="Times New Roman"/>
          <w:sz w:val="18"/>
          <w:szCs w:val="18"/>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For the three months ended March 31, 2021, realized gains of $1 were reclassified out of accumulated other comprehensive income. There were no realized gains or losses reclassified out of accumulated other comprehensive income for the three months ended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Other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sources of revenue and cash flow are the sales of ORLADEYO to a specialty pharmacy, the reimbursement of galidesivir (formerly BCX4430) development expenses earned under cost-plus-fixed-fee contracts with BARDA/HHS and NIAID/HHS and sales of RAPIVAB (peramivir injection) under our procurement contract with the Assistant Secretary for Preparedness and Response within HHS.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ORLADEYO is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3" w:right="359" w:bottom="1440" w:gutter="0" w:footer="0" w:header="0"/>
        </w:sectPr>
      </w:pPr>
    </w:p>
    <w:bookmarkStart w:id="16" w:name="page17"/>
    <w:bookmarkEnd w:id="16"/>
    <w:p>
      <w:pPr>
        <w:ind w:left="280"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spacing w:after="0" w:line="183" w:lineRule="exact"/>
        <w:rPr>
          <w:sz w:val="20"/>
          <w:szCs w:val="20"/>
          <w:color w:val="auto"/>
        </w:rPr>
      </w:pPr>
    </w:p>
    <w:p>
      <w:pPr>
        <w:ind w:left="280" w:right="20" w:firstLine="486"/>
        <w:spacing w:after="0" w:line="282" w:lineRule="auto"/>
        <w:rPr>
          <w:sz w:val="20"/>
          <w:szCs w:val="20"/>
          <w:color w:val="auto"/>
        </w:rPr>
      </w:pPr>
      <w:r>
        <w:rPr>
          <w:rFonts w:ascii="Times New Roman" w:cs="Times New Roman" w:eastAsia="Times New Roman" w:hAnsi="Times New Roman"/>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Risks from Third-Party Manufacturing and Distribution Concentration</w:t>
      </w:r>
    </w:p>
    <w:p>
      <w:pPr>
        <w:spacing w:after="0" w:line="227" w:lineRule="exact"/>
        <w:rPr>
          <w:sz w:val="20"/>
          <w:szCs w:val="20"/>
          <w:color w:val="auto"/>
        </w:rPr>
      </w:pPr>
    </w:p>
    <w:p>
      <w:pPr>
        <w:ind w:left="280" w:firstLine="486"/>
        <w:spacing w:after="0" w:line="289" w:lineRule="auto"/>
        <w:rPr>
          <w:sz w:val="20"/>
          <w:szCs w:val="20"/>
          <w:color w:val="auto"/>
        </w:rPr>
      </w:pPr>
      <w:r>
        <w:rPr>
          <w:rFonts w:ascii="Times New Roman" w:cs="Times New Roman" w:eastAsia="Times New Roman" w:hAnsi="Times New Roman"/>
          <w:sz w:val="17"/>
          <w:szCs w:val="17"/>
          <w:color w:val="auto"/>
        </w:rPr>
        <w:t>The Company relies on single source manufacturers for active pharmaceutical ingredient and finished drug product manufacturing of product candidates in development and on a single specialty pharmacy for distribution of approved drug product in the United States. Delays in the manufacture or distribution of any product could adversely impact the commercial revenue and future procurement stockpiling of the Company’s product candidates.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left="280" w:right="20" w:firstLine="486"/>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83" w:lineRule="exact"/>
        <w:rPr>
          <w:sz w:val="20"/>
          <w:szCs w:val="20"/>
          <w:color w:val="auto"/>
        </w:rPr>
      </w:pPr>
    </w:p>
    <w:p>
      <w:pPr>
        <w:jc w:val="both"/>
        <w:ind w:left="280"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majority of the Company’s receivables from collaborations are due from the U.S. Government, for which there is no assumed credit risk.</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280" w:right="20"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new accounting pronouncements adopted by the Company or new accounting pronouncements issued by the Financial Accounting Standards Board during the three months ended March 31, 2022, as compared to the recent accounting pronouncements described in Note 1 of the Company’s Annual Report on Form 10-K for the year ended December 31, 2021, that the Company believes are of significance or potential significance to the Company.</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recorded the following revenues for the three months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0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ORLADEYO</w:t>
            </w:r>
          </w:p>
        </w:tc>
        <w:tc>
          <w:tcPr>
            <w:tcW w:w="29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49,386</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RAPIVAB</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Peramivir</w:t>
            </w:r>
          </w:p>
        </w:tc>
        <w:tc>
          <w:tcPr>
            <w:tcW w:w="2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20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Collaborative and other research and development revenues:</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2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collaborative and other research and development revenues</w:t>
            </w:r>
          </w:p>
        </w:tc>
        <w:tc>
          <w:tcPr>
            <w:tcW w:w="20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9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49,923</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19,059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ind w:left="280" w:right="20" w:firstLine="522"/>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87"/>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3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42,005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42,062</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r>
      <w:tr>
        <w:trPr>
          <w:trHeight w:val="216"/>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47,925</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47,964</w:t>
            </w:r>
          </w:p>
        </w:tc>
      </w:tr>
      <w:tr>
        <w:trPr>
          <w:trHeight w:val="20"/>
        </w:trPr>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7"/>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3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Obligations of U.S. Government and its</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4,053</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4,329</w:t>
            </w:r>
          </w:p>
        </w:tc>
      </w:tr>
      <w:tr>
        <w:trPr>
          <w:trHeight w:val="216"/>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10,041</w:t>
            </w:r>
          </w:p>
        </w:tc>
      </w:tr>
      <w:tr>
        <w:trPr>
          <w:trHeight w:val="20"/>
        </w:trPr>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scheduled maturity for the Company’s investments at March 31, 2022 and December 31, 2021:</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47,964</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through two years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6,829</w:t>
            </w:r>
          </w:p>
        </w:tc>
      </w:tr>
      <w:tr>
        <w:trPr>
          <w:trHeight w:val="24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10,041</w:t>
            </w:r>
          </w:p>
        </w:tc>
      </w:tr>
    </w:tbl>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Trade Receivables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29" w:lineRule="exact"/>
        <w:rPr>
          <w:sz w:val="20"/>
          <w:szCs w:val="20"/>
          <w:color w:val="auto"/>
        </w:rPr>
      </w:pPr>
    </w:p>
    <w:p>
      <w:pPr>
        <w:ind w:left="280" w:right="140" w:firstLine="486"/>
        <w:spacing w:after="0" w:line="261" w:lineRule="auto"/>
        <w:rPr>
          <w:sz w:val="20"/>
          <w:szCs w:val="20"/>
          <w:color w:val="auto"/>
        </w:rPr>
      </w:pPr>
      <w:r>
        <w:rPr>
          <w:rFonts w:ascii="Times New Roman" w:cs="Times New Roman" w:eastAsia="Times New Roman" w:hAnsi="Times New Roman"/>
          <w:sz w:val="18"/>
          <w:szCs w:val="18"/>
          <w:color w:val="auto"/>
        </w:rPr>
        <w:t>Receivables from product sales are recorded for amounts due to the Company related to sales of ORLADEYO and RAPIVAB. At March 31, 2022 and December 31, 2021, receivables related to sales of ORLADEYO were $34,405 and $27,384, respectively. At March 31, 2022 and December 31, 2021, receivables related to sales of RAPIVAB were $78 and $49, respectively. No reserve or allowance amounts were recorded as of March 31, 2022 and December 31, 2021, respectively.</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At March 31, 2022 and December 31, 2021, the Company had the following receivables from collaborations: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20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9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0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c>
          <w:tcPr>
            <w:tcW w:w="48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1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18" w:name="page19"/>
    <w:bookmarkEnd w:id="18"/>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09"/>
        </w:trPr>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Billed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Health and Human Services</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Royalty receivables from partners</w:t>
            </w:r>
          </w:p>
        </w:tc>
        <w:tc>
          <w:tcPr>
            <w:tcW w:w="8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both March 31, 2022 and December 31, 2021, the Company maintained a reserve of $701 related to royalties associated with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Inventory</w:t>
      </w:r>
    </w:p>
    <w:p>
      <w:pPr>
        <w:spacing w:after="0" w:line="229" w:lineRule="exact"/>
        <w:rPr>
          <w:sz w:val="20"/>
          <w:szCs w:val="20"/>
          <w:color w:val="auto"/>
        </w:rPr>
      </w:pPr>
    </w:p>
    <w:p>
      <w:pPr>
        <w:jc w:val="both"/>
        <w:ind w:right="460" w:firstLine="486"/>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Company’s inventory primarily related to ORLADEYO. Additionally, inventory included RAPIVAB and peramivir, which is manufactured for the Company’s partners.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Company’s inventories consisted of the following:</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9,669</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r>
      <w:tr>
        <w:trPr>
          <w:trHeight w:val="209"/>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16,397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15,791</w:t>
            </w:r>
          </w:p>
        </w:tc>
      </w:tr>
      <w:tr>
        <w:trPr>
          <w:trHeight w:val="20"/>
        </w:trPr>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Monetizations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RAPIACTA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8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Notes Payable</w:t>
      </w:r>
    </w:p>
    <w:p>
      <w:pPr>
        <w:spacing w:after="0" w:line="22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3" w:right="359" w:bottom="1440" w:gutter="0" w:footer="0" w:header="0"/>
        </w:sectPr>
      </w:pPr>
    </w:p>
    <w:bookmarkStart w:id="19" w:name="page20"/>
    <w:bookmarkEnd w:id="19"/>
    <w:p>
      <w:pPr>
        <w:ind w:left="2" w:firstLine="486"/>
        <w:spacing w:after="0" w:line="253" w:lineRule="auto"/>
        <w:rPr>
          <w:sz w:val="20"/>
          <w:szCs w:val="20"/>
          <w:color w:val="auto"/>
        </w:rPr>
      </w:pPr>
      <w:r>
        <w:rPr>
          <w:rFonts w:ascii="Times New Roman" w:cs="Times New Roman" w:eastAsia="Times New Roman" w:hAnsi="Times New Roman"/>
          <w:sz w:val="18"/>
          <w:szCs w:val="18"/>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As a result of the event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December 1, 2020, at which time the outstanding principal amount of the PhaRMA Notes of $30,000, together with accrued and unpaid interest of $20,614, was due in full.</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 xml:space="preserve">Non-Recourse Notes Payable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Debt Extinguishment</w:t>
      </w:r>
    </w:p>
    <w:p>
      <w:pPr>
        <w:spacing w:after="0" w:line="227" w:lineRule="exact"/>
        <w:rPr>
          <w:sz w:val="20"/>
          <w:szCs w:val="20"/>
          <w:color w:val="auto"/>
        </w:rPr>
      </w:pPr>
    </w:p>
    <w:p>
      <w:pPr>
        <w:ind w:left="2" w:right="120" w:firstLine="486"/>
        <w:spacing w:after="0" w:line="256" w:lineRule="auto"/>
        <w:rPr>
          <w:sz w:val="20"/>
          <w:szCs w:val="20"/>
          <w:color w:val="auto"/>
        </w:rPr>
      </w:pPr>
      <w:r>
        <w:rPr>
          <w:rFonts w:ascii="Times New Roman" w:cs="Times New Roman" w:eastAsia="Times New Roman" w:hAnsi="Times New Roman"/>
          <w:sz w:val="18"/>
          <w:szCs w:val="18"/>
          <w:color w:val="auto"/>
        </w:rPr>
        <w:t>During 2021, the royalty-bearing patents associated with RAPIACTA in Japan expired. Accordingly, the Company evaluated the current circumstances of the PhaRMA Notes, including (i) their non-recourse nature relative to the Company, (ii) the current state of default since September 1, 2014 and the legal maturity on December 1, 2020 and (iii) the loss of patent protection relative to RAPIACTA in Japan, upon which any significant repayment of the PhaRMA Notes is predicated. As a result, the Company determined that it was no longer the financial obligor, and as a result, the principal balance of $30,000 and associated accrued interest payable balance of $25,838 were written off, resulting in a gain on extinguishment recorded in other income (expense) for the year ended December 31, 2021.</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ORLADEYO and Factor D Inhibitors</w:t>
      </w:r>
    </w:p>
    <w:p>
      <w:pPr>
        <w:spacing w:after="0" w:line="229" w:lineRule="exact"/>
        <w:rPr>
          <w:sz w:val="20"/>
          <w:szCs w:val="20"/>
          <w:color w:val="auto"/>
        </w:rPr>
      </w:pPr>
    </w:p>
    <w:p>
      <w:pPr>
        <w:jc w:val="both"/>
        <w:ind w:left="2" w:right="100" w:firstLine="486"/>
        <w:spacing w:after="0" w:line="254" w:lineRule="auto"/>
        <w:rPr>
          <w:sz w:val="20"/>
          <w:szCs w:val="20"/>
          <w:color w:val="auto"/>
        </w:rPr>
      </w:pPr>
      <w:r>
        <w:rPr>
          <w:rFonts w:ascii="Times New Roman" w:cs="Times New Roman" w:eastAsia="Times New Roman" w:hAnsi="Times New Roman"/>
          <w:sz w:val="18"/>
          <w:szCs w:val="18"/>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w:t>
      </w:r>
    </w:p>
    <w:p>
      <w:pPr>
        <w:spacing w:after="0" w:line="3" w:lineRule="exact"/>
        <w:rPr>
          <w:sz w:val="20"/>
          <w:szCs w:val="20"/>
          <w:color w:val="auto"/>
        </w:rPr>
      </w:pPr>
    </w:p>
    <w:p>
      <w:pPr>
        <w:ind w:left="2" w:right="40"/>
        <w:spacing w:after="0" w:line="255" w:lineRule="auto"/>
        <w:rPr>
          <w:sz w:val="20"/>
          <w:szCs w:val="20"/>
          <w:color w:val="auto"/>
        </w:rPr>
      </w:pPr>
      <w:r>
        <w:rPr>
          <w:rFonts w:ascii="Times New Roman" w:cs="Times New Roman" w:eastAsia="Times New Roman" w:hAnsi="Times New Roman"/>
          <w:sz w:val="18"/>
          <w:szCs w:val="18"/>
          <w:color w:val="auto"/>
        </w:rPr>
        <w:t>8.75% of aggregate annual net sales of ORLADEYO for annual net sales up to $350,000 and (ii) 2.75% of annual net sales for annual net sales between $350,000 and $550,000. No royalty payments are payable on annual Direct Sales over $550,000. In addition, RPI will be entitled to receive 1.0% of global net sales, if any, of BCX9930.</w:t>
      </w:r>
    </w:p>
    <w:p>
      <w:pPr>
        <w:spacing w:after="0" w:line="186" w:lineRule="exact"/>
        <w:rPr>
          <w:sz w:val="20"/>
          <w:szCs w:val="20"/>
          <w:color w:val="auto"/>
        </w:rPr>
      </w:pPr>
    </w:p>
    <w:p>
      <w:pPr>
        <w:ind w:left="2" w:right="60" w:firstLine="486"/>
        <w:spacing w:after="0" w:line="258" w:lineRule="auto"/>
        <w:rPr>
          <w:sz w:val="20"/>
          <w:szCs w:val="20"/>
          <w:color w:val="auto"/>
        </w:rPr>
      </w:pPr>
      <w:r>
        <w:rPr>
          <w:rFonts w:ascii="Times New Roman" w:cs="Times New Roman" w:eastAsia="Times New Roman" w:hAnsi="Times New Roman"/>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83" w:lineRule="exact"/>
        <w:rPr>
          <w:sz w:val="20"/>
          <w:szCs w:val="20"/>
          <w:color w:val="auto"/>
        </w:rPr>
      </w:pPr>
    </w:p>
    <w:p>
      <w:pPr>
        <w:ind w:left="2" w:right="140" w:firstLine="486"/>
        <w:spacing w:after="0" w:line="256" w:lineRule="auto"/>
        <w:rPr>
          <w:sz w:val="20"/>
          <w:szCs w:val="20"/>
          <w:color w:val="auto"/>
        </w:rPr>
      </w:pPr>
      <w:r>
        <w:rPr>
          <w:rFonts w:ascii="Times New Roman" w:cs="Times New Roman" w:eastAsia="Times New Roman" w:hAnsi="Times New Roman"/>
          <w:sz w:val="18"/>
          <w:szCs w:val="18"/>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87"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auto"/>
        </w:rPr>
        <w:t>Under the 2021 RPI Royalty Purchase Agreement, RPI is entitled to receive tiered, sales-based royalties on Direct Sales in an amount equal to:</w:t>
      </w:r>
    </w:p>
    <w:p>
      <w:pPr>
        <w:spacing w:after="0" w:line="27" w:lineRule="exact"/>
        <w:rPr>
          <w:sz w:val="20"/>
          <w:szCs w:val="20"/>
          <w:color w:val="auto"/>
        </w:rPr>
      </w:pPr>
    </w:p>
    <w:p>
      <w:pPr>
        <w:ind w:left="2" w:right="240" w:hanging="2"/>
        <w:spacing w:after="0" w:line="252" w:lineRule="auto"/>
        <w:tabs>
          <w:tab w:leader="none" w:pos="2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sublicence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spacing w:after="0" w:line="190"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auto"/>
        </w:rPr>
        <w:t>Under the 2021 RPI Royalty Purchase Agreement, RPI is also entitled to receive tiered, sales-based royalties on net product sales</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of BCX9930 and another earlier stage Factor D inhibitor in an amount equal to: (i) 3.0% of worldwide aggregate annual net sales up to $1.5 billion and</w:t>
      </w:r>
    </w:p>
    <w:p>
      <w:pPr>
        <w:spacing w:after="0" w:line="9" w:lineRule="exact"/>
        <w:rPr>
          <w:sz w:val="20"/>
          <w:szCs w:val="20"/>
          <w:color w:val="auto"/>
        </w:rPr>
      </w:pPr>
    </w:p>
    <w:p>
      <w:pPr>
        <w:ind w:left="2" w:right="340" w:hanging="2"/>
        <w:spacing w:after="0" w:line="290" w:lineRule="auto"/>
        <w:tabs>
          <w:tab w:leader="none" w:pos="26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worldwide aggregate annual net sales between $1.5 billion and $3.0 billion. No royalty payments are payable on annual net sales above $3.0 billion. RPI is also entitled to receive tiered profit share amounts of up to 3.0% from certain other permitted sales in certain other markets.</w:t>
      </w:r>
    </w:p>
    <w:p>
      <w:pPr>
        <w:spacing w:after="0" w:line="157"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607" w:right="339" w:bottom="1440" w:gutter="0" w:footer="0" w:header="0"/>
        </w:sectPr>
      </w:pPr>
    </w:p>
    <w:bookmarkStart w:id="20" w:name="page21"/>
    <w:bookmarkEnd w:id="20"/>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royalties payable under the 2021 RPI Royalty Purchase Agreement are in addition to the royalties payable to RPI under the 2020 RPI Royalty Purchase Agreement.</w:t>
      </w:r>
    </w:p>
    <w:p>
      <w:pPr>
        <w:spacing w:after="0" w:line="162"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7"/>
          <w:szCs w:val="17"/>
          <w:color w:val="auto"/>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 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to $350,000 and (ii) 3.0% of annual net sales of ORLADEYO for annual net sales between $350,000 and $550,000 (with no royalty payments payable on annual Direct Sales over $550,000) (the “Regime B Royalty Rate”).</w:t>
      </w:r>
    </w:p>
    <w:p>
      <w:pPr>
        <w:spacing w:after="0" w:line="181"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w:t>
      </w:r>
    </w:p>
    <w:p>
      <w:pPr>
        <w:spacing w:after="0" w:line="1"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86"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transactions contemplated by each of the Royalty Purchase Agreements are referred to herein as the “Royalty Sales”.</w:t>
      </w:r>
    </w:p>
    <w:p>
      <w:pPr>
        <w:spacing w:after="0" w:line="225"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is permitted to be incurred under the terms of the Company’s Credit Agreement with Athyrium Opportunities III Co-Invest 1 LP. Refer to Note 7 for further details on the Credit Agreement. The restrictions on the ability of the Company or any of its subsidiaries to incur indebtedness are eliminated after the achievement of certain specified milestones in the Royalty Purchase Agreements.</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Agreements is recorded in “Royalty financing obligations” on the Company’s consolidated balance sheet.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spacing w:after="0" w:line="200" w:lineRule="exact"/>
        <w:rPr>
          <w:sz w:val="20"/>
          <w:szCs w:val="20"/>
          <w:color w:val="auto"/>
        </w:rPr>
      </w:pPr>
    </w:p>
    <w:p>
      <w:pPr>
        <w:spacing w:after="0" w:line="2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7" w:right="35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financing obligations account (in thousands) as well as the effective interest rate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ectPr>
          <w:pgSz w:w="11900" w:h="16838" w:orient="portrait"/>
          <w:cols w:equalWidth="0" w:num="1">
            <w:col w:w="10960"/>
          </w:cols>
          <w:pgMar w:left="60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9"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color w:val="auto"/>
        </w:rPr>
        <w:t>Non-cash Interest expense on Royalty financing obligations Royalty revenues paid and payable</w:t>
      </w:r>
    </w:p>
    <w:p>
      <w:pPr>
        <w:spacing w:after="0"/>
        <w:rPr>
          <w:sz w:val="20"/>
          <w:szCs w:val="20"/>
          <w:color w:val="auto"/>
        </w:rPr>
      </w:pPr>
      <w:r>
        <w:rPr>
          <w:rFonts w:ascii="Times New Roman" w:cs="Times New Roman" w:eastAsia="Times New Roman" w:hAnsi="Times New Roman"/>
          <w:sz w:val="18"/>
          <w:szCs w:val="18"/>
          <w:color w:val="auto"/>
        </w:rPr>
        <w:t>Balance as of March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interest rate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2020 RPI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2021 RPI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OMERS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Royalty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147,224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153,377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148,774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449,375</w:t>
            </w:r>
          </w:p>
        </w:tc>
      </w:tr>
      <w:tr>
        <w:trPr>
          <w:trHeight w:val="191"/>
        </w:trPr>
        <w:tc>
          <w:tcPr>
            <w:tcW w:w="100" w:type="dxa"/>
            <w:vAlign w:val="bottom"/>
          </w:tcPr>
          <w:p>
            <w:pPr>
              <w:spacing w:after="0"/>
              <w:rPr>
                <w:sz w:val="16"/>
                <w:szCs w:val="16"/>
                <w:color w:val="auto"/>
              </w:rPr>
            </w:pPr>
          </w:p>
        </w:tc>
        <w:tc>
          <w:tcPr>
            <w:tcW w:w="11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19,649</w:t>
            </w:r>
          </w:p>
        </w:tc>
      </w:tr>
      <w:tr>
        <w:trPr>
          <w:trHeight w:val="234"/>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1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153,004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159,290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151,931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464,225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3"/>
        </w:trPr>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-1002665</wp:posOffset>
            </wp:positionV>
            <wp:extent cx="67722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-719455</wp:posOffset>
            </wp:positionV>
            <wp:extent cx="67722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-436880</wp:posOffset>
            </wp:positionV>
            <wp:extent cx="67722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-136525</wp:posOffset>
            </wp:positionV>
            <wp:extent cx="67722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60" w:space="720"/>
            <w:col w:w="5380"/>
          </w:cols>
          <w:pgMar w:left="600" w:top="823" w:right="339" w:bottom="1440" w:gutter="0" w:footer="0" w:header="0"/>
          <w:type w:val="continuous"/>
        </w:sect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Deferred issuance costs pursuant to the Royalty financing obligations, which consist primarily of advisory and legal fees, totaled $8,531 as of March 31, 2022. The Royalty financing obligations liabilities and the associated deferred issuance costs are amortized using the effective interest method over the term of the arrangement, in accordance with the respective guidance.</w:t>
      </w:r>
    </w:p>
    <w:p>
      <w:pPr>
        <w:spacing w:after="0" w:line="17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Refer to Note 9 for further details on the common stock sale premium.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On December 7, 2020, the Company entered into a $200,000 Credit Agreement (the “Credit Agreement”) with Athyrium Opportunities III Co-Invest 1 LP (“Athyrium”), as lender and as administrative agent for the lenders. BioCryst Ireland Limited and BioCryst US Sales Co., LLC, each of which is a wholly-owned subsidiary of the Company, and BioCryst UK Limited, a wholly-owned subsidiary of BioCryst Ireland Limited, are guarantors to the Credit Agreement. The Credit Agreement provides for an initial term loan in the principal amount of $125,000 (the “Term A Loan”), which was received by the Company on December 7, 2020 and is recorded in “Secured term loan” on the Company’s balance sheet as of March 31, 2022. The Company used a portion of the proceeds from the Term A Loan to repay $43,298 of outstanding indebtedness, including accrued interest, under its prior credit facility with MidCap Financial Trust.</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Credit Agreement also provides for two additional term loans, at the Company’s option, in the respective principal amounts of $25,000 (the “Term B Loan”) and $50,000 (the “Term C Loan” and, collectively with the Term A Loan and the Term B Loan, the “Term Loans”). The Term B Loan and the Term C Loan may be drawn upon if, among other conditions, the Company reaches defined revenue milestones and, with respect to a draw on the Term C Loan, the Term B Loan has been funded prior to or contemporaneously with the Term C Loan. The maturity date of the Credit Agreement is December 7, 2025.</w:t>
      </w:r>
    </w:p>
    <w:p>
      <w:pPr>
        <w:spacing w:after="0" w:line="18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November 19, 2021, the Company entered into an amendment to the Credit Agreement (i) to permit the Company to enter into the 2021 RPI Royalty Purchase Agreement, the OMERS Royalty Purchase Agreement, and the other definitive documentation related thereto and to perform its obligations thereunder; (ii) to require the Company to pay to Athyrium, for the account of the lenders, a make-whole premium plus certain fees set forth in the Credit Agreement in the event that the Company does not draw the Term B Loan or the Term C Loan,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(x) terminates the commitments in respect of the Term B Loan or the Term C Loan, as applicable, on or prior to the end of the applicable period available to draw the Term B Loan or the Term C Loan, or (y) prepays or repays, or is required to prepay or repay, voluntarily or pursuant to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in each case, subject to certain exceptions set forth in the Credit Agreement.</w:t>
      </w:r>
    </w:p>
    <w:p>
      <w:pPr>
        <w:spacing w:after="0" w:line="19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 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rate, which shall be no less than 1.75% and no more than 3.50% (“LIBOR”), plus 8.25%, or for each interest period in which a PIK Interest Payment is made, LIBOR plus 10.25%.</w:t>
      </w:r>
    </w:p>
    <w:p>
      <w:pPr>
        <w:spacing w:after="0" w:line="1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823" w:right="339" w:bottom="1440" w:gutter="0" w:footer="0" w:header="0"/>
          <w:type w:val="continuous"/>
        </w:sectPr>
      </w:pPr>
    </w:p>
    <w:bookmarkStart w:id="22" w:name="page23"/>
    <w:bookmarkEnd w:id="22"/>
    <w:p>
      <w:pPr>
        <w:ind w:firstLine="486"/>
        <w:spacing w:after="0" w:line="252" w:lineRule="auto"/>
        <w:rPr>
          <w:sz w:val="20"/>
          <w:szCs w:val="20"/>
          <w:color w:val="auto"/>
        </w:rPr>
      </w:pPr>
      <w:r>
        <w:rPr>
          <w:rFonts w:ascii="Times New Roman" w:cs="Times New Roman" w:eastAsia="Times New Roman" w:hAnsi="Times New Roman"/>
          <w:sz w:val="18"/>
          <w:szCs w:val="18"/>
          <w:color w:val="auto"/>
        </w:rPr>
        <w:t>Subject to certain exceptions, the Company is required to make mandatory prepayments of the Term Loans with the proceeds of certain asset sales, certain ORLADEYO out-licensing or royalty monetization transactions (excluding the Royalty Sales), extraordinary receipts, debt issuances, or upon a change of control of the Company and specified other events, subject to certain exceptions.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Credit Agreement also contains representations and warranties and affirmative and negative covenants customary for financings of this type,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customary events of default. Certain of the customary negative covenants limit the ability of the Company and certain of its subsidiaries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grant liens, make investments, incur additional indebtedness, engage in mergers, acquisitions, and similar transactions, dispose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license certain property, distribute dividends, make certain restricted payments, change the nature of the Company’s business, engage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affiliates and insiders, prepay other indebtedness, or engage in sale and leaseback transactions, subject to certain exceptions.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Additionally, as of the last day of each fiscal quarter (a “Test Date”), beginning with the first Test Date occurring immediately after the Term C Loan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drawn, if applicable, the Company may not permit consolidated net revenues from ORLADEYO sales in the United States for the four-fiscal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ending on such Test Date to be less than the specified amounts set forth in the Credit Agreement (collectively, the “Revenue Tests”).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fails to satisfy the Revenue Tests as of any Test Date, it will have a one-time right (the “Cure Right”) to repay in full the entire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C Loan outstanding at such time together with all accrued and unpaid interest thereon plus the prepayment premium, exit fee, and any other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amounts payable under the Credit Agreement at such time. In addition, the Credit Agreement contains a minimum liquidity covenant requiring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maintain at all times, as applicable, at least $15,000 of unrestricted cash and cash equivalents if only the Term A Loan has been drawn;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$20,000 of unrestricted cash and cash equivalents if the Term B Loan has been drawn but the Term C Loan has not been drawn; and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 (or, if the Cure Right has been exercised, $20,000) of unrestricted cash and cash equivalents if the Term C Loan has been drawn,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20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a security interest in, subject to certain exceptions, substantially all of the Company's assets.</w:t>
      </w:r>
    </w:p>
    <w:p>
      <w:pPr>
        <w:spacing w:after="0" w:line="16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of March 31, 2022, the Company had borrowings of $125,000 under the Credit Agreement. Quarterly interest payments under the Credit Agreement for the three months ended March 31, 2022 and 2021 totaled $4,321 and $3,549, respectively, and have been designated and accounted for as PIK Interest Payments and added to the outstanding principal balance of the borrowing. As of March 31, 2022, borrowings, including the PIK Interest Payments, totaled $146,386. The principal balance of the borrowing, including PIK amounts, are accruing interest at a rate of 12.17%. The fair value of the debt approximates its carrying value based on prevailing interest rates as of the balance sheet date and is considered as Level 2 in the fair value hierarchy.</w:t>
      </w:r>
    </w:p>
    <w:p>
      <w:pPr>
        <w:spacing w:after="0" w:line="18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deferred debt fees and issuance costs totaled $8,651 and are being amortized as interest expense on an effective interest rate method over the term of the Term A Loan. When utilizing the effective interest method, in periods in which PIK interest is designated and those amounts are added to the outstanding principal balance of the borrowing, the amortization of the deferred debt fees and issuance costs is accretive. Deferred financing amortization of $(167) and $(58), was recognized for the three months ended March 31, 2022 and 2021, respectively.</w:t>
      </w:r>
    </w:p>
    <w:p>
      <w:pPr>
        <w:spacing w:after="0" w:line="18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 Obligations</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leases certain assets under operating leases, which primarily consisted of real estate leases, laboratory equipment leases and office equipment leases as of March 31, 2022. Renewal options for our leases range from 1 to 5 years in length and begin from 2023 through 2026. The weighted average lease term for the Company’s operating leases was 8.0 years. The weighted average discount rate for the Company’s operating leases was 10.36%.</w:t>
      </w: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607"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color w:val="auto"/>
        </w:rPr>
        <w:t>Aggregate lease expense under operating leases was $594 and $452 for the three months ended March 31, 2022 and 2021, respectively.</w:t>
      </w:r>
    </w:p>
    <w:p>
      <w:pPr>
        <w:spacing w:after="0" w:line="22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All of the Company’s leases qualify as operating leases. The following table summarizes the presentation in the consolidated balance sheets of the Company’s operating leases: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Balance Sheet Location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5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7,207</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3540" w:type="dxa"/>
            <w:vAlign w:val="bottom"/>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 xml:space="preserve">Lease financing obligation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current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5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spacing w:after="0"/>
              <w:rPr>
                <w:sz w:val="17"/>
                <w:szCs w:val="17"/>
                <w:color w:val="auto"/>
              </w:rPr>
            </w:pPr>
          </w:p>
        </w:tc>
        <w:tc>
          <w:tcPr>
            <w:tcW w:w="3540" w:type="dxa"/>
            <w:vAlign w:val="bottom"/>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 xml:space="preserve">Lease financing obligation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long-term</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5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operating lease liabilities</w:t>
            </w:r>
          </w:p>
        </w:tc>
        <w:tc>
          <w:tcPr>
            <w:tcW w:w="35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8,538</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Operating lease assets are recorded net of accumulated amortization of $3,019 and $2,626 as of March 31, 2022 and December 31, 2021, respectively. Cash paid for amounts included in the measurement of lease liabilities was $574 and $440 for the three months ended March 31, 2022 and 2021, respectively.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2022, are as follows (in thousands):</w:t>
            </w: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w:t>
            </w:r>
          </w:p>
        </w:tc>
        <w:tc>
          <w:tcPr>
            <w:tcW w:w="13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r>
      <w:tr>
        <w:trPr>
          <w:trHeight w:val="209"/>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r>
      <w:tr>
        <w:trPr>
          <w:trHeight w:val="249"/>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On April 24, 2020, the Company filed a shelf registration statement on Form S-3 with the SEC. This shelf registration statement became effective on May 14, 2020 and allows the Company to sell up to $500,000 in securities, including common stock, preferred stock, depositary shares, purchase contracts, warrants, debt securities, and units, from time to time at prices and on terms to be determined at the time of sale.</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78"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On November 19,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concurrent with the Company entering into the 2021 RPI Royalty Purchase Agreement, the Company and RPI entered into the Common Stock Purchase Agreement, pursuant to which the Company issued 3,846,154 shares of the Company’s common stock to RPI for an aggregate purchase price of $50,000, at a price of $13.00 per share, calculated based on the 20-day volume weighted average price. The $13.00 per share price represents a premium of $1.11 over the closing price of $11.89 of the Company’s common stock on November 17,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pacing w:after="0" w:line="18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9" w:lineRule="exact"/>
        <w:rPr>
          <w:sz w:val="20"/>
          <w:szCs w:val="20"/>
          <w:color w:val="auto"/>
        </w:rPr>
      </w:pPr>
    </w:p>
    <w:p>
      <w:pPr>
        <w:ind w:right="80" w:firstLine="522"/>
        <w:spacing w:after="0" w:line="274" w:lineRule="auto"/>
        <w:rPr>
          <w:sz w:val="20"/>
          <w:szCs w:val="20"/>
          <w:color w:val="auto"/>
        </w:rPr>
      </w:pPr>
      <w:r>
        <w:rPr>
          <w:rFonts w:ascii="Times New Roman" w:cs="Times New Roman" w:eastAsia="Times New Roman" w:hAnsi="Times New Roman"/>
          <w:sz w:val="17"/>
          <w:szCs w:val="17"/>
          <w:color w:val="auto"/>
        </w:rPr>
        <w:t>As of March 31, 2022,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amended and restated on April 1, 2021 and approved by the Company’s stockholders on May 25, 2021. It was further amended and restated on April 18, 2022 and has been submitted for approval by the Company’s stockholders at the Company’s annual meeting of stockholders to be held on June 7, 2022. The Inducement Plan was most recently amended and restated by the Board of Directors on July 23, 2021. The ESPP was most recently amended and restated on April 1, 2021 and approved by the Company’s stockholders on May 25, 2021.</w:t>
      </w:r>
    </w:p>
    <w:p>
      <w:pPr>
        <w:spacing w:after="0" w:line="173" w:lineRule="exact"/>
        <w:rPr>
          <w:sz w:val="20"/>
          <w:szCs w:val="20"/>
          <w:color w:val="auto"/>
        </w:rPr>
      </w:pPr>
    </w:p>
    <w:p>
      <w:pPr>
        <w:ind w:firstLine="522"/>
        <w:spacing w:after="0" w:line="261" w:lineRule="auto"/>
        <w:rPr>
          <w:sz w:val="20"/>
          <w:szCs w:val="20"/>
          <w:color w:val="auto"/>
        </w:rPr>
      </w:pPr>
      <w:r>
        <w:rPr>
          <w:rFonts w:ascii="Times New Roman" w:cs="Times New Roman" w:eastAsia="Times New Roman" w:hAnsi="Times New Roman"/>
          <w:sz w:val="18"/>
          <w:szCs w:val="18"/>
          <w:color w:val="auto"/>
        </w:rPr>
        <w:t>Stock-based compensation expense of $9,601 ($8,078 of expense related to the Incentive Plan, $1,225 of expense related to the Inducement Plan, and $298 of expense related to the ESPP) was recognized during the three months ended March 31, 2022, while $5,479 ($4,554 of expense related to the Incentive Plan, $598 of expense related to the Inducement Plan and $327 of expense related to the ESPP) was recognized during the three months ended March 31, 2021.</w:t>
      </w:r>
    </w:p>
    <w:p>
      <w:pPr>
        <w:spacing w:after="0" w:line="180" w:lineRule="exact"/>
        <w:rPr>
          <w:sz w:val="20"/>
          <w:szCs w:val="20"/>
          <w:color w:val="auto"/>
        </w:rPr>
      </w:pPr>
    </w:p>
    <w:p>
      <w:pPr>
        <w:ind w:right="320" w:firstLine="522"/>
        <w:spacing w:after="0" w:line="281" w:lineRule="auto"/>
        <w:rPr>
          <w:sz w:val="20"/>
          <w:szCs w:val="20"/>
          <w:color w:val="auto"/>
        </w:rPr>
      </w:pPr>
      <w:r>
        <w:rPr>
          <w:rFonts w:ascii="Times New Roman" w:cs="Times New Roman" w:eastAsia="Times New Roman" w:hAnsi="Times New Roman"/>
          <w:sz w:val="17"/>
          <w:szCs w:val="17"/>
          <w:color w:val="auto"/>
        </w:rPr>
        <w:t>There was approximately $109,635 of total unrecognized compensation expense related to non-vested stock option and restricted stock unit awards granted by the Company as of March 31, 2022. As of March 31, 2022, the Company expected to recognize that expense as follows: $28,801 during the remainder of 2022, $33,073 in 2023, $30,267 in 2024, $17,094 in 2025 and $400 in 2026. In addition, the Company has outstanding performance-based stock options for which no compensation expense is recognized until “performance” has occurred and the award vests.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ind w:right="20" w:firstLine="522"/>
        <w:spacing w:after="0" w:line="261" w:lineRule="auto"/>
        <w:rPr>
          <w:sz w:val="20"/>
          <w:szCs w:val="20"/>
          <w:color w:val="auto"/>
        </w:rPr>
      </w:pPr>
      <w:r>
        <w:rPr>
          <w:rFonts w:ascii="Times New Roman" w:cs="Times New Roman" w:eastAsia="Times New Roman" w:hAnsi="Times New Roman"/>
          <w:sz w:val="18"/>
          <w:szCs w:val="18"/>
          <w:color w:val="auto"/>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stock at the date of grant. Commencing March 1, 2011, stock option awards and restricted stock units granted to employees generally vest 25% each year until fully vested after four years.</w:t>
      </w:r>
    </w:p>
    <w:p>
      <w:pPr>
        <w:spacing w:after="0" w:line="180" w:lineRule="exact"/>
        <w:rPr>
          <w:sz w:val="20"/>
          <w:szCs w:val="20"/>
          <w:color w:val="auto"/>
        </w:rPr>
      </w:pPr>
    </w:p>
    <w:p>
      <w:pPr>
        <w:ind w:right="420" w:firstLine="522"/>
        <w:spacing w:after="0" w:line="282" w:lineRule="auto"/>
        <w:rPr>
          <w:sz w:val="20"/>
          <w:szCs w:val="20"/>
          <w:color w:val="auto"/>
        </w:rPr>
      </w:pPr>
      <w:r>
        <w:rPr>
          <w:rFonts w:ascii="Times New Roman" w:cs="Times New Roman" w:eastAsia="Times New Roman" w:hAnsi="Times New Roman"/>
          <w:sz w:val="18"/>
          <w:szCs w:val="18"/>
          <w:color w:val="auto"/>
        </w:rPr>
        <w:t>In December 2014, the Company issued 1,250 performance-based stock options. These awards vest upon successful completion of specific development milestones. As of March 31, 2022, 85% of these grants have vested.</w:t>
      </w:r>
    </w:p>
    <w:p>
      <w:pPr>
        <w:spacing w:after="0" w:line="162" w:lineRule="exact"/>
        <w:rPr>
          <w:sz w:val="20"/>
          <w:szCs w:val="20"/>
          <w:color w:val="auto"/>
        </w:rPr>
      </w:pPr>
    </w:p>
    <w:p>
      <w:pPr>
        <w:jc w:val="both"/>
        <w:ind w:right="80" w:firstLine="522"/>
        <w:spacing w:after="0" w:line="266" w:lineRule="auto"/>
        <w:rPr>
          <w:sz w:val="20"/>
          <w:szCs w:val="20"/>
          <w:color w:val="auto"/>
        </w:rPr>
      </w:pPr>
      <w:r>
        <w:rPr>
          <w:rFonts w:ascii="Times New Roman" w:cs="Times New Roman" w:eastAsia="Times New Roman" w:hAnsi="Times New Roman"/>
          <w:sz w:val="18"/>
          <w:szCs w:val="18"/>
          <w:color w:val="auto"/>
        </w:rPr>
        <w:t>In January 2022, the Company issued 221 performance-based restricted stock unit awards. Contingent upon successful achievement of specific commercial or operational objectives in 2022, the awards become eligible for vesting at 50% on the first anniversary of the grant date and 25% on each of the second and third anniversaries of the grant date, until fully vested after three years.</w:t>
      </w:r>
    </w:p>
    <w:p>
      <w:pPr>
        <w:spacing w:after="0" w:line="176" w:lineRule="exact"/>
        <w:rPr>
          <w:sz w:val="20"/>
          <w:szCs w:val="20"/>
          <w:color w:val="auto"/>
        </w:rPr>
      </w:pPr>
    </w:p>
    <w:p>
      <w:pPr>
        <w:ind w:right="140" w:firstLine="522"/>
        <w:spacing w:after="0" w:line="258" w:lineRule="auto"/>
        <w:rPr>
          <w:sz w:val="20"/>
          <w:szCs w:val="20"/>
          <w:color w:val="auto"/>
        </w:rPr>
      </w:pPr>
      <w:r>
        <w:rPr>
          <w:rFonts w:ascii="Times New Roman" w:cs="Times New Roman" w:eastAsia="Times New Roman" w:hAnsi="Times New Roman"/>
          <w:sz w:val="18"/>
          <w:szCs w:val="18"/>
          <w:color w:val="auto"/>
        </w:rPr>
        <w:t>Stock option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Related activity under the Incentive Plan is as follows:</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0"/>
        </w:trPr>
        <w:tc>
          <w:tcPr>
            <w:tcW w:w="5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120" w:type="dxa"/>
            <w:vAlign w:val="bottom"/>
          </w:tcPr>
          <w:p>
            <w:pPr>
              <w:spacing w:after="0"/>
              <w:rPr>
                <w:sz w:val="18"/>
                <w:szCs w:val="18"/>
                <w:color w:val="auto"/>
              </w:rPr>
            </w:pP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0" w:type="dxa"/>
            <w:vAlign w:val="bottom"/>
          </w:tcPr>
          <w:p>
            <w:pPr>
              <w:spacing w:after="0"/>
              <w:rPr>
                <w:sz w:val="18"/>
                <w:szCs w:val="18"/>
                <w:color w:val="auto"/>
              </w:rPr>
            </w:pP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5120" w:type="dxa"/>
            <w:vAlign w:val="bottom"/>
          </w:tcPr>
          <w:p>
            <w:pPr>
              <w:spacing w:after="0"/>
              <w:rPr>
                <w:sz w:val="20"/>
                <w:szCs w:val="20"/>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3,651</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28,685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 awards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 awards cancelled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 awards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awards exercised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 awards cancelled</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49"/>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27,392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bl>
    <w:p>
      <w:pPr>
        <w:spacing w:after="0" w:line="198" w:lineRule="exact"/>
        <w:rPr>
          <w:sz w:val="20"/>
          <w:szCs w:val="20"/>
          <w:color w:val="auto"/>
        </w:rPr>
      </w:pPr>
    </w:p>
    <w:p>
      <w:pPr>
        <w:ind w:right="120" w:firstLine="522"/>
        <w:spacing w:after="0" w:line="255" w:lineRule="auto"/>
        <w:rPr>
          <w:sz w:val="20"/>
          <w:szCs w:val="20"/>
          <w:color w:val="auto"/>
        </w:rPr>
      </w:pPr>
      <w:r>
        <w:rPr>
          <w:rFonts w:ascii="Times New Roman" w:cs="Times New Roman" w:eastAsia="Times New Roman" w:hAnsi="Times New Roman"/>
          <w:sz w:val="18"/>
          <w:szCs w:val="18"/>
          <w:color w:val="auto"/>
        </w:rPr>
        <w:t>For stock option awards granted under the Incentive Plan during the first three months of 2022 and 2021, the fair value was estimated on the date of grant using a Black-Scholes option pricing model and the assumptions noted in the table below. The weighted average grant date fair value of these awards granted during the first three months of 2022 and 2021 was $11.48 and $6.87, respectively. The fair value of the stock option awards is amortized to expense over the vesting periods using a straight-line expense attribution method. For restricted stock units granted under the Incentive Plan, the fair value of the awards was determined based on the market value of the Company’s shares on the grant date. The weighted average grant date fair value of these awards granted during the first three months of 2022 was $15.49. The fair value of the restricted stock unit awards is amortized to expense over the vesting periods using a straight-line expense attribution method.</w:t>
      </w:r>
    </w:p>
    <w:p>
      <w:pPr>
        <w:spacing w:after="0" w:line="1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10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2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Related activity under the Inducement Plan is as follows: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0"/>
        </w:trPr>
        <w:tc>
          <w:tcPr>
            <w:tcW w:w="5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12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5120" w:type="dxa"/>
            <w:vAlign w:val="bottom"/>
          </w:tcPr>
          <w:p>
            <w:pPr>
              <w:spacing w:after="0"/>
              <w:rPr>
                <w:sz w:val="20"/>
                <w:szCs w:val="20"/>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stock unit awards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awards granted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option awards exercised</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awards cancelled</w:t>
            </w: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0"/>
        </w:trPr>
        <w:tc>
          <w:tcPr>
            <w:tcW w:w="5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For stock option awards granted under the Inducement Plan during the first three months of 2022 and 2021, the fair value was estimated on the date of grant using a Black-Scholes option pricing model and the assumptions noted in the table below. The weighted average grant date fair value of these awards granted during the first three months of 2022 and 2021 was $11.14 and $5.86, respectively. The fair value of the stock option awards is amortized to expense over the vesting periods using a straight-line expense attribution method. For restricted stock units granted under the Inducement Plan, the fair value of the awards was determined based on the market value of the Company’s shares on the grant date. The weighted average grant date fair value of these awards granted during the first three months of 2022 was $16.27. The fair value of the restricted stock unit awards is amortized to expense over the vesting periods using a straight-line expense attribution method. No restricted stock unit awards were granted under the Inducement Plan during the first three months of 2021.</w:t>
      </w:r>
    </w:p>
    <w:p>
      <w:pPr>
        <w:spacing w:after="0" w:line="192"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key assumptions used by the Company to value the stock option awards granted under all plans during the first three months of 2022 and 2021,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 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Weighted Average Assumptions for Stock Option Awards Granted to</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Employees and Directors under the Plans</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522"/>
        <w:spacing w:after="0" w:line="255" w:lineRule="auto"/>
        <w:rPr>
          <w:sz w:val="20"/>
          <w:szCs w:val="20"/>
          <w:color w:val="auto"/>
        </w:rPr>
      </w:pPr>
      <w:r>
        <w:rPr>
          <w:rFonts w:ascii="Times New Roman" w:cs="Times New Roman" w:eastAsia="Times New Roman" w:hAnsi="Times New Roman"/>
          <w:sz w:val="18"/>
          <w:szCs w:val="18"/>
          <w:color w:val="auto"/>
        </w:rPr>
        <w:t>The Company has reserved a total of 7,975 shares of common stock to be purchased under the ESPP, of which 5,937 shares remain available for purchase as of March 31, 2022.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 During the three months ended March 31, 2022, and 2021, the Company issued 115 and 193 shares under the ESPP, respectively. Compensation expense for shares purchased under the ESPP related to the purchase discount and the “look-back” option were determined using a Black-Scholes option pricing model.</w:t>
      </w:r>
    </w:p>
    <w:p>
      <w:pPr>
        <w:spacing w:after="0" w:line="18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00" w:top="603"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Collaborative and Other Relationships</w:t>
      </w:r>
    </w:p>
    <w:p>
      <w:pPr>
        <w:spacing w:after="0" w:line="22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National Institute of Allergy and Infectious Diseases</w:t>
      </w:r>
      <w:r>
        <w:rPr>
          <w:rFonts w:ascii="Times New Roman" w:cs="Times New Roman" w:eastAsia="Times New Roman" w:hAnsi="Times New Roman"/>
          <w:sz w:val="18"/>
          <w:szCs w:val="18"/>
          <w:color w:val="auto"/>
        </w:rPr>
        <w:t>. In September 2013, NIAID/HHS contracted with the Company for the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galidesivir as a treatment for Marburg virus disease 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This is the commencement of closing out the contract. All options under the contract have been awarded.</w:t>
      </w:r>
    </w:p>
    <w:p>
      <w:pPr>
        <w:spacing w:after="0" w:line="185"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August 2020, NIAID/HHS awarded the Company a new contract, with potential aggregate funding up of to $43,908 if all contract options are exercised, to manufacture and evaluate the safety, efficacy and tolerability of galidesivir. NIAID/HHS made an initial award of $6,326 to the Company under this contract.</w:t>
      </w:r>
    </w:p>
    <w:p>
      <w:pPr>
        <w:spacing w:after="0" w:line="17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Biomedical Advanced Research and Development Authority</w:t>
      </w:r>
      <w:r>
        <w:rPr>
          <w:rFonts w:ascii="Times New Roman" w:cs="Times New Roman" w:eastAsia="Times New Roman" w:hAnsi="Times New Roman"/>
          <w:sz w:val="18"/>
          <w:szCs w:val="18"/>
          <w:color w:val="auto"/>
        </w:rPr>
        <w:t>. In March 2015, BARDA/HHS awarded the Company a contract for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March 31, 2022, a total of $20,574 has been awarded under exercised options within this contract. The most recent development option was completed as of March 31, 2022.</w:t>
      </w:r>
    </w:p>
    <w:p>
      <w:pPr>
        <w:spacing w:after="0" w:line="18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81"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U.S. Department of Health and Human Services</w:t>
      </w:r>
      <w:r>
        <w:rPr>
          <w:rFonts w:ascii="Times New Roman" w:cs="Times New Roman" w:eastAsia="Times New Roman" w:hAnsi="Times New Roman"/>
          <w:sz w:val="18"/>
          <w:szCs w:val="18"/>
          <w:color w:val="auto"/>
        </w:rPr>
        <w:t>. In September 2018, HHS awarded the Company a $34,660 contract for the procurement of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50,000 doses of RAPIVAB (peramivir injection) over a five-year period. As of March 31, 2022, the Company has delivered a total of 29,980 RAPIVAB doses of the 50,000 RAPIVAB doses available under the contract with HHS for a total of $20,782.</w:t>
      </w:r>
    </w:p>
    <w:p>
      <w:pPr>
        <w:spacing w:after="0" w:line="173" w:lineRule="exact"/>
        <w:rPr>
          <w:sz w:val="20"/>
          <w:szCs w:val="20"/>
          <w:color w:val="auto"/>
        </w:rPr>
      </w:pPr>
    </w:p>
    <w:p>
      <w:pPr>
        <w:ind w:right="2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Torii Pharmaceutical Co., Ltd. </w:t>
      </w:r>
      <w:r>
        <w:rPr>
          <w:rFonts w:ascii="Times New Roman" w:cs="Times New Roman" w:eastAsia="Times New Roman" w:hAnsi="Times New Roman"/>
          <w:sz w:val="18"/>
          <w:szCs w:val="18"/>
          <w:color w:val="auto"/>
        </w:rPr>
        <w:t>On November 5, 2019, the Company entered into a Commercialization and License Agreement with Torii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“Torii Agreement”), granting Torii the exclusive right to commercialize ORLADEYO for the prevention of HAE attacks in Japan.</w:t>
      </w:r>
    </w:p>
    <w:p>
      <w:pPr>
        <w:spacing w:after="0" w:line="16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7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spacing w:after="0" w:line="18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spacing w:after="0" w:line="181"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Shionogi &amp; Co., Ltd. </w:t>
      </w:r>
      <w:r>
        <w:rPr>
          <w:rFonts w:ascii="Times New Roman" w:cs="Times New Roman" w:eastAsia="Times New Roman" w:hAnsi="Times New Roman"/>
          <w:sz w:val="18"/>
          <w:szCs w:val="18"/>
          <w:color w:val="auto"/>
        </w:rPr>
        <w:t>In February 2007, the Company entered into an exclusive license agreement with Shionogi to develop and commercialize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8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1062" w:right="339" w:bottom="1440" w:gutter="0" w:footer="0" w:header="0"/>
        </w:sectPr>
      </w:pPr>
    </w:p>
    <w:bookmarkStart w:id="27" w:name="page28"/>
    <w:bookmarkEnd w:id="27"/>
    <w:p>
      <w:pPr>
        <w:ind w:right="1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Green Cross Corporation. </w:t>
      </w:r>
      <w:r>
        <w:rPr>
          <w:rFonts w:ascii="Times New Roman" w:cs="Times New Roman" w:eastAsia="Times New Roman" w:hAnsi="Times New Roman"/>
          <w:sz w:val="18"/>
          <w:szCs w:val="18"/>
          <w:color w:val="auto"/>
        </w:rPr>
        <w:t>In June 2006, the Company entered into an agreement with Green Cross to develop and commercialize peramivir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Albert Einstein College of Medicine of Yeshiva University and Industrial Research, Ltd. </w:t>
      </w:r>
      <w:r>
        <w:rPr>
          <w:rFonts w:ascii="Times New Roman" w:cs="Times New Roman" w:eastAsia="Times New Roman" w:hAnsi="Times New Roman"/>
          <w:sz w:val="18"/>
          <w:szCs w:val="18"/>
          <w:color w:val="auto"/>
        </w:rPr>
        <w:t>In June 2000, the Company licensed a series of potent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inhibitors of Purine Nucleoside Phosphorylase from AECOM and IRL (together, the “Licensors”). The lead product candidate from this collaboration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forodesine. The Company has obtained worldwide exclusive rights to develop and ultimately distribute this, or any other, product candidates that might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arise from research on these inhibitors. The Company has the option to expand the agreement to include other inventions in the field made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investigators or employees of the Licensors. Under this agreement, as amended and restated, the Company has agreed to use commercially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develop these drugs and to pay certain milestone payments for each licensed product (which range in the aggregate from $1,400 to almost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per indication) for future development, single digit royalties on net sales of any resulting product made by the Company, and to share a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future payments received from other third-party partners, if any. In addition, the Company has agreed to pay annual license fees, which can range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$150 to $500, that are creditable against actual royalties and other payments due to the Licensors. The Licensors have also granted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exclusive worldwide license of galidesivir for any antiviral use.</w:t>
      </w:r>
    </w:p>
    <w:p>
      <w:pPr>
        <w:spacing w:after="0" w:line="20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University of Alabama at Birmingham. </w:t>
      </w:r>
      <w:r>
        <w:rPr>
          <w:rFonts w:ascii="Times New Roman" w:cs="Times New Roman" w:eastAsia="Times New Roman" w:hAnsi="Times New Roman"/>
          <w:sz w:val="18"/>
          <w:szCs w:val="18"/>
          <w:color w:val="auto"/>
        </w:rPr>
        <w:t>The Company currently has agreements with UAB for influenza neuraminidase and complement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1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605" w:right="359" w:bottom="1440" w:gutter="0" w:footer="0" w:header="0"/>
        </w:sectPr>
      </w:pPr>
    </w:p>
    <w:bookmarkStart w:id="28" w:name="page29"/>
    <w:bookmarkEnd w:id="28"/>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7" w:lineRule="exact"/>
        <w:rPr>
          <w:sz w:val="20"/>
          <w:szCs w:val="20"/>
          <w:color w:val="auto"/>
        </w:rPr>
      </w:pPr>
    </w:p>
    <w:p>
      <w:pPr>
        <w:ind w:right="260" w:firstLine="522"/>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at the beginning of this report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in Part II, Item 1A of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486"/>
        <w:spacing w:after="0" w:line="274" w:lineRule="auto"/>
        <w:rPr>
          <w:sz w:val="20"/>
          <w:szCs w:val="20"/>
          <w:color w:val="auto"/>
        </w:rPr>
      </w:pPr>
      <w:r>
        <w:rPr>
          <w:rFonts w:ascii="Times New Roman" w:cs="Times New Roman" w:eastAsia="Times New Roman" w:hAnsi="Times New Roman"/>
          <w:sz w:val="17"/>
          <w:szCs w:val="17"/>
          <w:color w:val="auto"/>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Product Candidates</w:t>
      </w:r>
    </w:p>
    <w:p>
      <w:pPr>
        <w:spacing w:after="0" w:line="227" w:lineRule="exact"/>
        <w:rPr>
          <w:sz w:val="20"/>
          <w:szCs w:val="20"/>
          <w:color w:val="auto"/>
        </w:rPr>
      </w:pPr>
    </w:p>
    <w:p>
      <w:pPr>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r>
        <w:rPr>
          <w:rFonts w:ascii="Times New Roman" w:cs="Times New Roman" w:eastAsia="Times New Roman" w:hAnsi="Times New Roman"/>
          <w:sz w:val="18"/>
          <w:szCs w:val="18"/>
          <w:color w:val="auto"/>
        </w:rPr>
        <w:t>. ORLADEYO is an oral, once-daily therapy discovered and developed by us for the prevention of hereditary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angioedema (“HAE”) attacks. ORLADEYO is approved in the United States, the European Union, Japan, the United Kingdom, and the United Arab Emirates for the prevention of HAE attacks in adults and pediatric patients 12 years and older.</w:t>
      </w:r>
    </w:p>
    <w:p>
      <w:pPr>
        <w:spacing w:after="0" w:line="175" w:lineRule="exact"/>
        <w:rPr>
          <w:sz w:val="20"/>
          <w:szCs w:val="20"/>
          <w:color w:val="auto"/>
        </w:rPr>
      </w:pPr>
    </w:p>
    <w:p>
      <w:pPr>
        <w:ind w:right="60" w:firstLine="486"/>
        <w:spacing w:after="0" w:line="272" w:lineRule="auto"/>
        <w:rPr>
          <w:sz w:val="20"/>
          <w:szCs w:val="20"/>
          <w:color w:val="auto"/>
        </w:rPr>
      </w:pPr>
      <w:r>
        <w:rPr>
          <w:rFonts w:ascii="Times New Roman" w:cs="Times New Roman" w:eastAsia="Times New Roman" w:hAnsi="Times New Roman"/>
          <w:sz w:val="17"/>
          <w:szCs w:val="17"/>
          <w:color w:val="auto"/>
        </w:rPr>
        <w:t>We built out our U.S. commercial infrastructure in 2020 to support the launch of ORLADEYO in the United States and are continuing to build our commercial infrastructure to support additional launches in Europe and elsewhere. Based on proprietary analyses of HAE prevalence and market research studies with HAE patients, physicians, and payors in the United States and Europe, and our first full year of experience with the ORLADEYO launch in 2021, we anticipate the commercial market for ORLADEYO has the potential to reach no less than $250 million in net ORLADEYO revenues in 2022 and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w:t>
      </w:r>
    </w:p>
    <w:p>
      <w:pPr>
        <w:spacing w:after="0" w:line="2" w:lineRule="exact"/>
        <w:rPr>
          <w:sz w:val="20"/>
          <w:szCs w:val="20"/>
          <w:color w:val="auto"/>
        </w:rPr>
      </w:pPr>
    </w:p>
    <w:p>
      <w:pPr>
        <w:spacing w:after="0"/>
        <w:tabs>
          <w:tab w:leader="none" w:pos="6680" w:val="left"/>
          <w:tab w:leader="none" w:pos="9380" w:val="left"/>
        </w:tabs>
        <w:rPr>
          <w:sz w:val="20"/>
          <w:szCs w:val="20"/>
          <w:color w:val="auto"/>
        </w:rPr>
      </w:pPr>
      <w:r>
        <w:rPr>
          <w:rFonts w:ascii="Times New Roman" w:cs="Times New Roman" w:eastAsia="Times New Roman" w:hAnsi="Times New Roman"/>
          <w:sz w:val="18"/>
          <w:szCs w:val="18"/>
          <w:color w:val="auto"/>
        </w:rPr>
        <w:t>for ORLADEYO will develop in line with our current expectations. See “Risk Factors</w:t>
      </w:r>
      <w:r>
        <w:rPr>
          <w:sz w:val="20"/>
          <w:szCs w:val="20"/>
          <w:color w:val="auto"/>
        </w:rPr>
        <w:tab/>
      </w:r>
      <w:r>
        <w:rPr>
          <w:rFonts w:ascii="Times New Roman" w:cs="Times New Roman" w:eastAsia="Times New Roman" w:hAnsi="Times New Roman"/>
          <w:sz w:val="18"/>
          <w:szCs w:val="18"/>
          <w:color w:val="auto"/>
        </w:rPr>
        <w:t>Risks Relating to Our Business</w:t>
      </w:r>
      <w:r>
        <w:rPr>
          <w:sz w:val="20"/>
          <w:szCs w:val="20"/>
          <w:color w:val="auto"/>
        </w:rPr>
        <w:tab/>
      </w:r>
      <w:r>
        <w:rPr>
          <w:rFonts w:ascii="Times New Roman" w:cs="Times New Roman" w:eastAsia="Times New Roman" w:hAnsi="Times New Roman"/>
          <w:sz w:val="17"/>
          <w:szCs w:val="17"/>
          <w:color w:val="auto"/>
        </w:rPr>
        <w:t>Risks Relating to</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Drug Development and Commercialization There can be no assurance that our commercialization efforts, methods, and strategies for our products or technologies will succeed, and our future revenue generation is uncertain” in Part II, Item 1A of this report for further discussion of these risks.</w:t>
      </w:r>
    </w:p>
    <w:p>
      <w:pPr>
        <w:spacing w:after="0" w:line="16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Revenue from sales of ORLADEYO in the first quarter of 2022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and market trends. We are continuing to monitor and analyze this data as we continue to commercialize ORLADEYO.</w:t>
      </w:r>
    </w:p>
    <w:p>
      <w:pPr>
        <w:spacing w:after="0" w:line="18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BCX9930</w:t>
      </w:r>
      <w:r>
        <w:rPr>
          <w:rFonts w:ascii="Times New Roman" w:cs="Times New Roman" w:eastAsia="Times New Roman" w:hAnsi="Times New Roman"/>
          <w:sz w:val="18"/>
          <w:szCs w:val="18"/>
          <w:color w:val="auto"/>
        </w:rPr>
        <w:t>. BCX9930 is a novel, oral, potent, and selective small molecule inhibitor of Factor D discovered by us and in clinical development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treatment of complement-mediated diseases. Based on the safety and proof-of-concept data generated in patients with paroxysmal nocturnal hemoglobinuria (“PNH”), the program advanced to pivotal studies of oral BCX9930 (500 mg twice-daily) in PNH and to a proof-of-concept trial of oral BCX9930 (500 mg twice-daily) in three renal complement-mediated diseases, C3 glomerulopathy (“C3G”), IgA nephropathy (“IgAN”), and primary membranous nephropathy (“PMN”). We are working closely with regulators and key opinion leaders in hematology and nephrology to map the advanced development strategy across a broad set of indications. The goal of the program is to develop oral BCX9930 as a monotherapy for complement-mediated diseases. As discussed further under “Recent Developments” below, we recently voluntarily paused enrollment of new patients in clinical trials with BCX9930 while we investigate elevated serum creatinine seen in some patients, and the U.S. Food and Drug Administration (“FDA”) subsequently informed the Company that it has placed the clinical program for BCX9930 on a partial clinical hold.</w:t>
      </w:r>
    </w:p>
    <w:p>
      <w:pPr>
        <w:spacing w:after="0" w:line="1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Galidesivir</w:t>
      </w:r>
      <w:r>
        <w:rPr>
          <w:rFonts w:ascii="Times New Roman" w:cs="Times New Roman" w:eastAsia="Times New Roman" w:hAnsi="Times New Roman"/>
          <w:sz w:val="18"/>
          <w:szCs w:val="18"/>
          <w:color w:val="auto"/>
        </w:rPr>
        <w:t>. Galidesivir is a broad-spectrum antiviral (“BSAV”) that has been shown to be active against more than 20 RNA viruses in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families. The objective of our BSAV program is to develop galidesivir as a broad-spectrum therapeutic for viruses that pose a threat to national health and security. The primary focus of the program is treatment of hemorrhagic fever viruses. The galidesivir program has been substantially funded with federal funds from the National Institute of Allergy and Infectious Diseases within the U.S. Department of Health and Human Services (“NIAID/HHS”) and by the Biomedical Advanced Research and Development Authority within the HHS (“BARDA/HHS”).</w:t>
      </w:r>
    </w:p>
    <w:p>
      <w:pPr>
        <w:spacing w:after="0" w:line="18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819" w:right="359" w:bottom="1440" w:gutter="0" w:footer="0" w:header="0"/>
        </w:sectPr>
      </w:pPr>
    </w:p>
    <w:bookmarkStart w:id="29" w:name="page30"/>
    <w:bookmarkEnd w:id="29"/>
    <w:p>
      <w:pPr>
        <w:ind w:right="1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BCX9250</w:t>
      </w:r>
      <w:r>
        <w:rPr>
          <w:rFonts w:ascii="Times New Roman" w:cs="Times New Roman" w:eastAsia="Times New Roman" w:hAnsi="Times New Roman"/>
          <w:sz w:val="18"/>
          <w:szCs w:val="18"/>
          <w:color w:val="auto"/>
        </w:rPr>
        <w:t>. The goal of our activin receptor-like kinase-2 inhibitor program is to discover and develop orally administered kinase inhibitor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that are able to slow or prevent the irregular formation of bone outside the normal skeleton, also known as heterotopic ossification (“HO”), that affects patients with fibrodysplasia ossificans progressiva (“FOP”). In a phase 1 clinical trial in healthy volunteers, BCX9250 was safe and well tolerated at all doses studied, with linear and dose-proportional exposure supporting once-daily dosing.</w:t>
      </w:r>
    </w:p>
    <w:p>
      <w:pPr>
        <w:spacing w:after="0" w:line="180" w:lineRule="exact"/>
        <w:rPr>
          <w:sz w:val="20"/>
          <w:szCs w:val="20"/>
          <w:color w:val="auto"/>
        </w:rPr>
      </w:pPr>
    </w:p>
    <w:p>
      <w:pPr>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RAPIVAB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/RAPIACTA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/PERAMIFLU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(peramivir injection). </w:t>
      </w:r>
      <w:r>
        <w:rPr>
          <w:rFonts w:ascii="Times New Roman" w:cs="Times New Roman" w:eastAsia="Times New Roman" w:hAnsi="Times New Roman"/>
          <w:sz w:val="18"/>
          <w:szCs w:val="18"/>
          <w:color w:val="auto"/>
        </w:rPr>
        <w:t>RAPIVAB (peramivir injection) is approved in the United States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acute uncomplicated influenza for patients six months and older. Peramivir injection is also approved in Canada (RAPIVAB), Australia (RAPIVAB), Japan (RAPIACTA), Taiwan (RAPIACTA), and Korea (PERAMIFLU).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Expenses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and product candidates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operating expenses are also difficult to predict and depend on several factors, including research and development expenses (and whether these expenses are reimbursable under government contracts), drug manufacturing, and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87" w:lineRule="exact"/>
        <w:rPr>
          <w:sz w:val="20"/>
          <w:szCs w:val="20"/>
          <w:color w:val="auto"/>
        </w:rPr>
      </w:pPr>
    </w:p>
    <w:p>
      <w:pPr>
        <w:jc w:val="both"/>
        <w:ind w:right="60" w:firstLine="522"/>
        <w:spacing w:after="0" w:line="266"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20" w:firstLine="522"/>
        <w:spacing w:after="0" w:line="253"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60" w:firstLine="450"/>
        <w:spacing w:after="0" w:line="290" w:lineRule="auto"/>
        <w:rPr>
          <w:sz w:val="20"/>
          <w:szCs w:val="20"/>
          <w:color w:val="auto"/>
        </w:rPr>
      </w:pPr>
      <w:r>
        <w:rPr>
          <w:rFonts w:ascii="Times New Roman" w:cs="Times New Roman" w:eastAsia="Times New Roman" w:hAnsi="Times New Roman"/>
          <w:sz w:val="17"/>
          <w:szCs w:val="17"/>
          <w:color w:val="auto"/>
        </w:rPr>
        <w:t>The outbreak of COVID-19 has severely impacted global economic activity and caused significant volatility in financial markets. To date, our financial condition, results of operations, and liquidity have not been materially impacted by the direct effects of the COVID-19 pandemic. Please refer</w:t>
      </w:r>
    </w:p>
    <w:p>
      <w:pPr>
        <w:ind w:right="20"/>
        <w:spacing w:after="0" w:line="254" w:lineRule="auto"/>
        <w:rPr>
          <w:sz w:val="20"/>
          <w:szCs w:val="20"/>
          <w:color w:val="auto"/>
        </w:rPr>
      </w:pPr>
      <w:r>
        <w:rPr>
          <w:rFonts w:ascii="Times New Roman" w:cs="Times New Roman" w:eastAsia="Times New Roman" w:hAnsi="Times New Roman"/>
          <w:sz w:val="18"/>
          <w:szCs w:val="18"/>
          <w:color w:val="auto"/>
        </w:rPr>
        <w:t>to “Risk Factors Risks Relating to Our Business Risks Relating to COVID-19” in Part II,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continue to be flexible where it is both practical and possible for the business. Business-related travel has increased, and we will continue to monitor developments with respect to COVID-19 going forward. To date, implementation of specific COVID-19 measures has not required material expenditures or significantly impacted our ability to operate our business or our internal control over financial reporting and disclosure controls and procedures. We continue to monitor the potential impacts of COVID-19 on our operations and those of our partners, suppliers, customers, and regulators.</w:t>
      </w:r>
    </w:p>
    <w:p>
      <w:pPr>
        <w:spacing w:after="0" w:line="19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ORLADEYO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(berotralstat)</w:t>
      </w:r>
    </w:p>
    <w:p>
      <w:pPr>
        <w:spacing w:after="0" w:line="22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January 10, 2022, we announced that ORLADEYO is now covered by all major payors and national and regional pharmacy benefit managers in the United States.</w:t>
      </w:r>
    </w:p>
    <w:p>
      <w:pPr>
        <w:spacing w:after="0" w:line="16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On February 24, 2022, we announced new long-term efficacy and safety data from the APeX-2 clinical trial evaluating oral, once-daily ORLADEYO for the prophylactic treatment of HAE showing sustained reductions in attack rates and improvement in quality of life among patients living with HAE, regardless of their baseline attack rates and initial responses to ORLADEYO.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Complement-Mediated Diseases</w:t>
      </w:r>
    </w:p>
    <w:p>
      <w:pPr>
        <w:spacing w:after="0" w:line="227"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On April 8, 2022, we announced that we voluntarily paused enrollment in clinical trials with BCX9930 while we investigate elevated serum creatinine seen in some patients. The BCX9930 clinical trials include both PNH clinical trials and evaluation of BCX9930 in three renal complement-mediated diseases, C3G, IgAN, and PMN. On May 5, 2022, we announced that, subsequent to our voluntary pause in trial enrollment, the FDA informed us that it has placed the clinical program for BCX9930 on a partial clinical hold. Consistent with our voluntary action, we may not enroll new patients in BCX9930 clinical trials; however, patients already enrolled who are receiving clinical benefit from BCX9930 treatment, and have no other available treatment options, can continue to be dosed and remain in the trials. Until we complete our investigation and consult our medical experts and appropriate regulatory authorities, we cannot predict the likelihood of any potential outcomes, including, but not limited to, the potential resumption of trial enrollments, or a potential decision not to continue the trials. We are working to complete the investigation as quickly as possible.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Fibrodysplasia Ossificans Progressiva</w:t>
      </w:r>
    </w:p>
    <w:p>
      <w:pPr>
        <w:spacing w:after="0" w:line="22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April 27, 2022, we announced that the European Medicines Agency (“EMA”) has granted access to the Priority Medicines (“PRIME”) scheme for BCX9250. PRIME is a program launched by the EMA to enhance support for the development of medicines that target an unmet medical need. This voluntary program is based on enhanced interaction and early dialogue with developers of promising medicines and is designed to optimize development plans and speed up evaluation so these medicines can potentially reach patients earlier. According to the EMA, developers of medicines that are eligible for PRIME can expect additional opportunities for scientific advice and be eligible for accelerated assessment at the time of application for a marketing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(three months ended March 31, 2022 compared to the three months ended March 31, 2021)</w:t>
      </w:r>
    </w:p>
    <w:p>
      <w:pPr>
        <w:spacing w:after="0" w:line="229" w:lineRule="exact"/>
        <w:rPr>
          <w:sz w:val="20"/>
          <w:szCs w:val="20"/>
          <w:color w:val="auto"/>
        </w:rPr>
      </w:pPr>
    </w:p>
    <w:p>
      <w:pPr>
        <w:ind w:right="40" w:firstLine="522"/>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total revenues were $49.9 million as compared to $19.1 million for the three months ended March 31, 2021. The increase was primarily due to ORLADEYO net revenue, including royalties, of $49.7 million, an increase of $38.8 million. Additionally, peramivir royalty revenue increased by $0.9 million. These increases in revenue were partially offset by a reduction in the peramivir product sales to our partners of $6.8 million and a reduction in contract revenue of $2.1 million.</w:t>
      </w:r>
    </w:p>
    <w:p>
      <w:pPr>
        <w:spacing w:after="0" w:line="180"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Cost of product sales for the three months ended March 31, 2022 and 2021 was $0.2 million and $5.9 million, respectively. The cost of product sales in 2021 was primarily associated with the peramivir product sales to our partners whereas the cost of product sales in 2022 relates primarily to sales of ORLADEYO.</w:t>
      </w:r>
    </w:p>
    <w:p>
      <w:pPr>
        <w:spacing w:after="0" w:line="176" w:lineRule="exact"/>
        <w:rPr>
          <w:sz w:val="20"/>
          <w:szCs w:val="20"/>
          <w:color w:val="auto"/>
        </w:rPr>
      </w:pPr>
    </w:p>
    <w:p>
      <w:pPr>
        <w:ind w:right="60" w:firstLine="522"/>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to $65.4 million for the three months ended March 31, 2022 from $42.4 million for the three months ended March 31, 2021, primarily due to increased investment in the development of our Factor D program, including BCX9930, as well as other research, preclinical and development costs.</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8"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periods indicated (amounts are in thousands):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32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R&amp;D expenses by program:</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7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Factor D program</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41,969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Berotralstat</w:t>
            </w:r>
          </w:p>
        </w:tc>
        <w:tc>
          <w:tcPr>
            <w:tcW w:w="10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FOP</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Galidesivir</w:t>
            </w:r>
          </w:p>
        </w:tc>
        <w:tc>
          <w:tcPr>
            <w:tcW w:w="100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Peramivir</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research, preclinical and development costs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65,360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22"/>
        <w:spacing w:after="0" w:line="254" w:lineRule="auto"/>
        <w:rPr>
          <w:sz w:val="20"/>
          <w:szCs w:val="20"/>
          <w:color w:val="auto"/>
        </w:rPr>
      </w:pPr>
      <w:r>
        <w:rPr>
          <w:rFonts w:ascii="Times New Roman" w:cs="Times New Roman" w:eastAsia="Times New Roman" w:hAnsi="Times New Roman"/>
          <w:sz w:val="18"/>
          <w:szCs w:val="18"/>
          <w:color w:val="auto"/>
        </w:rPr>
        <w:t>R&amp;D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R&amp;D personnel and costs of outside parties to conduct laboratory studies, develop manufacturing processes, manufacture the product candidates, conduct and manage clinical trials, as well as other costs related to our clinical and preclinical studies. Indirect R&amp;D expenses consist of lab supplies and services, facility expenses, depreciation of development equipment and other overhead of our research and development efforts. R&amp;D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spacing w:after="0" w:line="192" w:lineRule="exact"/>
        <w:rPr>
          <w:sz w:val="20"/>
          <w:szCs w:val="20"/>
          <w:color w:val="auto"/>
        </w:rPr>
      </w:pPr>
    </w:p>
    <w:p>
      <w:pPr>
        <w:ind w:right="440" w:firstLine="52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three months ended March 31, 2022 were $34.3 million compared to $22.1 million in the three months ended March 31, 2021. The increase was primarily due to increased investment to support the commercial launch of ORLADEYO and our expanded international operations.</w:t>
      </w:r>
    </w:p>
    <w:p>
      <w:pPr>
        <w:spacing w:after="0" w:line="176" w:lineRule="exact"/>
        <w:rPr>
          <w:sz w:val="20"/>
          <w:szCs w:val="20"/>
          <w:color w:val="auto"/>
        </w:rPr>
      </w:pPr>
    </w:p>
    <w:p>
      <w:pPr>
        <w:ind w:right="40" w:firstLine="522"/>
        <w:spacing w:after="0" w:line="255" w:lineRule="auto"/>
        <w:rPr>
          <w:sz w:val="20"/>
          <w:szCs w:val="20"/>
          <w:color w:val="auto"/>
        </w:rPr>
      </w:pPr>
      <w:r>
        <w:rPr>
          <w:rFonts w:ascii="Times New Roman" w:cs="Times New Roman" w:eastAsia="Times New Roman" w:hAnsi="Times New Roman"/>
          <w:sz w:val="18"/>
          <w:szCs w:val="18"/>
          <w:color w:val="auto"/>
        </w:rPr>
        <w:t>Interest expense for the three months ended March 31, 2022 was $23.8 million compared to $12.9 million for the three months ended March 31, 2021. The increase in interest expense was primarily associated with the sale of certain royalty payments under the 2021 RPI Royalty Purchase Agreement and the OMERS Royalty Purchase Agreement, which were entered into in November 2021. The nature of the royalty sales requires that we recognize a liability (the “Royalty Financing Obligations”) for the future sale of royalties under these agreements. These liabilities are amortized using the effective interest rate method, resulting in the recognition of non-cash interest expense over the estimated term of the Royalty Purchase Agreements (as defined in “Note 6—Royalty Monetizations—ORLADEYO and Factor D Inhibitors” in the Notes to Consolidated Financial Statements in Part I, Item 1 of this report).</w:t>
      </w:r>
    </w:p>
    <w:p>
      <w:pPr>
        <w:spacing w:after="0" w:line="189" w:lineRule="exact"/>
        <w:rPr>
          <w:sz w:val="20"/>
          <w:szCs w:val="20"/>
          <w:color w:val="auto"/>
        </w:rPr>
      </w:pPr>
    </w:p>
    <w:p>
      <w:pPr>
        <w:ind w:firstLine="522"/>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March 31, 2022 included $19.6 million of non-cash interest expense due to the amortization of interest associated with the Royalty Financing Obligations and $4.2 million of interest expense, net of deferred financing amortization, associated with the Term A Loan under the Credit Agreement. Interest expense for the three months ended March 31, 2021 included $7.5 million of non-cash interest expense due to the amortization of interest associated with the Royalty Financing Obligation under the 2020 RPI Royalty Purchase Agreement and $3.8 million of interest expense, net of deferred financing amortization, associated with the Term A Loan under the Credit Agreement. Additionally, we recognized $1.6 million in interest expense on the non-recourse PhaRMA Notes issued in March 2011, which were written-off in December 2021.</w:t>
      </w:r>
    </w:p>
    <w:p>
      <w:pPr>
        <w:spacing w:after="0" w:line="187" w:lineRule="exact"/>
        <w:rPr>
          <w:sz w:val="20"/>
          <w:szCs w:val="20"/>
          <w:color w:val="auto"/>
        </w:rPr>
      </w:pPr>
    </w:p>
    <w:p>
      <w:pPr>
        <w:ind w:right="420" w:firstLine="52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other expense of $0.1 million was primarily related to foreign currency losses of $0.2 million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partially offset by interest income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and our credit facilities; and more recently, the Royalty Sales and revenues from ORLADEYO. To date, we have been awarded a BARDA/HHS RAPIVAB development contract totaling $234.8 million, which expired on June 30, 2014; a NIAID/HHS galidesivir development contract totaling $47.3 million, which is in the process of being closed out; a second NIAID/HHS galidesivir development contract with a potential value totaling $43.9 million, which is ongoing; and a BARDA/HHS galidesivir development contract with a potential value totaling $39.1 million, which is also ongoing. The total amount of funding obligated under awarded options under the active NIAID/HHS and BARDA/HHS galidesivir contracts is $53.6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spacing w:after="0" w:line="1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80" w:right="359" w:bottom="1440" w:gutter="0" w:footer="0" w:header="0"/>
        </w:sectPr>
      </w:pPr>
    </w:p>
    <w:bookmarkStart w:id="32" w:name="page33"/>
    <w:bookmarkEnd w:id="32"/>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Our Credit Agreement with Athyrium provides for three term loans. We received the proceeds from the $125.0 million Term A Loan in December 2020. We have committed to draw the two additional term loans available under the Credit Agreement in the respective principal amounts of $25.0 million for the Term B Loan and $50.0 million for the Term C Loan. The maturity date of the Credit Agreement is December 7, 2025. See “Note</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7 Debt Credit Agreement” in the Notes to Consolidated Financial Statements in Part I, Item 1 of this report for additional information about the Credit Agreement.</w:t>
      </w:r>
    </w:p>
    <w:p>
      <w:pPr>
        <w:spacing w:after="0" w:line="16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we had net working capital of $430.7 million, a decrease of approximately $31.7 million from $462.4 million at December 31, 2021. The decrease in working capital was primarily due to normal operating expenses associated with the development of our product candidates and commercialization of ORLADEYO. Our principal sources of liquidity at March 31, 2022 were approximately $395.5 million in cash and cash equivalents and approximately $48.0 million in investments considered available-for-sale.</w:t>
      </w:r>
    </w:p>
    <w:p>
      <w:pPr>
        <w:spacing w:after="0" w:line="18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plan to finance our needs in both the short-term and long-term principally from the following:</w:t>
      </w:r>
    </w:p>
    <w:p>
      <w:pPr>
        <w:spacing w:after="0" w:line="225" w:lineRule="exact"/>
        <w:rPr>
          <w:sz w:val="20"/>
          <w:szCs w:val="20"/>
          <w:color w:val="auto"/>
        </w:rPr>
      </w:pPr>
    </w:p>
    <w:p>
      <w:pPr>
        <w:ind w:left="700" w:hanging="32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royalty, or loan financing and future public or private equity and/or debt financing;</w:t>
      </w:r>
    </w:p>
    <w:p>
      <w:pPr>
        <w:spacing w:after="0" w:line="27"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capital resources and interest earned on that capital;</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product sales;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existing, and executing new, contracts with the U.S. Government; and</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current or future collaborative and licensing agreements with corporate partners.</w:t>
      </w:r>
    </w:p>
    <w:p>
      <w:pPr>
        <w:spacing w:after="0" w:line="20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spacing w:after="0" w:line="192"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Based on our expectations for revenue, operating expenses, and the additional $75 million available to us under the Credit Agreement, we believe our financial resources will be sufficient to fund our operations for at least the next 12 months. However, we have sustained operating losses for the majority of our corporate history and expect that our 2022 expenses will exceed our 2022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33" w:name="page34"/>
    <w:bookmarkEnd w:id="33"/>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long-term capital requirements and the adequacy of our available funds in both the short-term and long-term will depend upon many factors, including:</w:t>
      </w:r>
    </w:p>
    <w:p>
      <w:pPr>
        <w:spacing w:after="0" w:line="162" w:lineRule="exact"/>
        <w:rPr>
          <w:sz w:val="20"/>
          <w:szCs w:val="20"/>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approved products and successful commercialization of such products by either us or our partners;</w:t>
      </w:r>
    </w:p>
    <w:p>
      <w:pPr>
        <w:spacing w:after="0" w:line="27"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under our government contracts and to receive reimbursement and stockpiling procurement contracts;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work under our government contracts;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magnitude of our research, drug discovery and development programs;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collaborative relationships or government contracts;</w:t>
      </w:r>
    </w:p>
    <w:p>
      <w:pPr>
        <w:spacing w:after="0" w:line="9" w:lineRule="exact"/>
        <w:rPr>
          <w:rFonts w:ascii="Times New Roman" w:cs="Times New Roman" w:eastAsia="Times New Roman" w:hAnsi="Times New Roman"/>
          <w:sz w:val="18"/>
          <w:szCs w:val="18"/>
          <w:color w:val="auto"/>
        </w:rPr>
      </w:pPr>
    </w:p>
    <w:p>
      <w:pPr>
        <w:ind w:left="700" w:right="440" w:hanging="324"/>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collaborative relationships with academic institutions, biotechnology or pharmaceutical companies and governmental agencies or other third parties;</w:t>
      </w:r>
    </w:p>
    <w:p>
      <w:pPr>
        <w:ind w:left="700" w:right="80" w:hanging="324"/>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partners, including governmental agencies, will share in the costs associated with the development of our programs or run the development programs themselves;</w:t>
      </w: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development and marketing strategic alliances for certain products and product candidates;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to build or expand internal development and commercial capabilities;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results of preclinical studies and clinical trials to identify and develop product candidates;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sites and enroll subjects in our clinical trials;</w:t>
      </w:r>
    </w:p>
    <w:p>
      <w:pPr>
        <w:spacing w:after="0" w:line="9" w:lineRule="exact"/>
        <w:rPr>
          <w:rFonts w:ascii="Times New Roman" w:cs="Times New Roman" w:eastAsia="Times New Roman" w:hAnsi="Times New Roman"/>
          <w:sz w:val="18"/>
          <w:szCs w:val="18"/>
          <w:color w:val="auto"/>
        </w:rPr>
      </w:pPr>
    </w:p>
    <w:p>
      <w:pPr>
        <w:ind w:left="700" w:right="360" w:hanging="324"/>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products to support our commercial operations and of our product candidates to support our preclinical research and clinical trials;</w:t>
      </w: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and related costs to support the development and commercialization of our products and product candidates;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manufacturing of our drug substance and product candidates required for future new drug application ("NDA") filings;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technological advances;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9"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commitments for ORLADEYO, RAPIVAB, and other products that receive regulatory approval; and</w:t>
      </w:r>
    </w:p>
    <w:p>
      <w:pPr>
        <w:spacing w:after="0" w:line="9" w:lineRule="exact"/>
        <w:rPr>
          <w:rFonts w:ascii="Times New Roman" w:cs="Times New Roman" w:eastAsia="Times New Roman" w:hAnsi="Times New Roman"/>
          <w:sz w:val="18"/>
          <w:szCs w:val="18"/>
          <w:color w:val="auto"/>
        </w:rPr>
      </w:pPr>
    </w:p>
    <w:p>
      <w:pPr>
        <w:ind w:left="700" w:right="120" w:hanging="324"/>
        <w:spacing w:after="0" w:line="26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expect that we will be required to raise additional capital to complete the development and commercialization of our current products and product candidates, and we may seek to raise capital in the future, including to take advantage of favorable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spacing w:after="0" w:line="195"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March 31, 2022, we were in compliance with the covenants under the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2022</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Based on the strength of the ORLADEYO launch, and continued steady growth from new patient demand anticipated throughout the year, we expect full year 2022 net ORLADEYO revenue to be no less than $250 million.</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had previously expected operating expenses for full year 2022, not including non-cash stock compensation, to be between $440 million to $480 million. Once we complete our investigation into BCX9930 and have clarity on the next step for the program, we expect to provide an updated outlook on full year 2022 operating expenses. If BCX9930 program enrollment resumes, then operating expenses are likely to be at the lower end of the previously provided range. If we discontinue the BCX9930 program, then operating expenses for the year would be lower than that.</w:t>
      </w: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34" w:name="page35"/>
    <w:bookmarkEnd w:id="34"/>
    <w:p>
      <w:pPr>
        <w:ind w:left="2"/>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2" w:right="28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87" w:lineRule="exact"/>
        <w:rPr>
          <w:sz w:val="20"/>
          <w:szCs w:val="20"/>
          <w:color w:val="auto"/>
        </w:rPr>
      </w:pPr>
    </w:p>
    <w:p>
      <w:pPr>
        <w:ind w:left="2" w:right="120" w:firstLine="486"/>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1—Significant Accounting Policies and Concentrations of Risk” in the Notes to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2" w:right="60" w:firstLine="486"/>
        <w:spacing w:after="0" w:line="258" w:lineRule="auto"/>
        <w:rPr>
          <w:sz w:val="20"/>
          <w:szCs w:val="20"/>
          <w:color w:val="auto"/>
        </w:rPr>
      </w:pPr>
      <w:r>
        <w:rPr>
          <w:rFonts w:ascii="Times New Roman" w:cs="Times New Roman" w:eastAsia="Times New Roman" w:hAnsi="Times New Roman"/>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ind w:left="2" w:right="100" w:firstLine="486"/>
        <w:spacing w:after="0" w:line="266" w:lineRule="auto"/>
        <w:rPr>
          <w:sz w:val="20"/>
          <w:szCs w:val="20"/>
          <w:color w:val="auto"/>
        </w:rPr>
      </w:pPr>
      <w:r>
        <w:rPr>
          <w:rFonts w:ascii="Times New Roman" w:cs="Times New Roman" w:eastAsia="Times New Roman" w:hAnsi="Times New Roman"/>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jc w:val="both"/>
        <w:ind w:left="2" w:right="140" w:firstLine="486"/>
        <w:spacing w:after="0" w:line="261" w:lineRule="auto"/>
        <w:rPr>
          <w:sz w:val="20"/>
          <w:szCs w:val="20"/>
          <w:color w:val="auto"/>
        </w:rPr>
      </w:pPr>
      <w:r>
        <w:rPr>
          <w:rFonts w:ascii="Times New Roman" w:cs="Times New Roman" w:eastAsia="Times New Roman" w:hAnsi="Times New Roman"/>
          <w:sz w:val="18"/>
          <w:szCs w:val="18"/>
          <w:color w:val="auto"/>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spacing w:after="0" w:line="180" w:lineRule="exact"/>
        <w:rPr>
          <w:sz w:val="20"/>
          <w:szCs w:val="20"/>
          <w:color w:val="auto"/>
        </w:rPr>
      </w:pPr>
    </w:p>
    <w:p>
      <w:pPr>
        <w:jc w:val="both"/>
        <w:ind w:left="2" w:right="160"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76" w:lineRule="exact"/>
        <w:rPr>
          <w:sz w:val="20"/>
          <w:szCs w:val="20"/>
          <w:color w:val="auto"/>
        </w:rPr>
      </w:pPr>
    </w:p>
    <w:p>
      <w:pPr>
        <w:ind w:left="2" w:firstLine="486"/>
        <w:spacing w:after="0" w:line="254" w:lineRule="auto"/>
        <w:rPr>
          <w:sz w:val="20"/>
          <w:szCs w:val="20"/>
          <w:color w:val="auto"/>
        </w:rPr>
      </w:pPr>
      <w:r>
        <w:rPr>
          <w:rFonts w:ascii="Times New Roman" w:cs="Times New Roman" w:eastAsia="Times New Roman" w:hAnsi="Times New Roman"/>
          <w:sz w:val="18"/>
          <w:szCs w:val="18"/>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86" w:lineRule="exact"/>
        <w:rPr>
          <w:sz w:val="20"/>
          <w:szCs w:val="20"/>
          <w:color w:val="auto"/>
        </w:rPr>
      </w:pPr>
    </w:p>
    <w:p>
      <w:pPr>
        <w:ind w:left="2" w:right="60" w:firstLine="486"/>
        <w:spacing w:after="0" w:line="270" w:lineRule="auto"/>
        <w:rPr>
          <w:sz w:val="20"/>
          <w:szCs w:val="20"/>
          <w:color w:val="auto"/>
        </w:rPr>
      </w:pPr>
      <w:r>
        <w:rPr>
          <w:rFonts w:ascii="Times New Roman" w:cs="Times New Roman" w:eastAsia="Times New Roman" w:hAnsi="Times New Roman"/>
          <w:sz w:val="17"/>
          <w:szCs w:val="17"/>
          <w:i w:val="1"/>
          <w:iCs w:val="1"/>
          <w:color w:val="auto"/>
        </w:rPr>
        <w:t>Government and Managed Care Rebates</w:t>
      </w:r>
      <w:r>
        <w:rPr>
          <w:rFonts w:ascii="Times New Roman" w:cs="Times New Roman" w:eastAsia="Times New Roman" w:hAnsi="Times New Roman"/>
          <w:sz w:val="17"/>
          <w:szCs w:val="17"/>
          <w:color w:val="auto"/>
        </w:rPr>
        <w:t>. We contract with government agencies and managed care organizations or, collectively, third-party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w:t>
      </w:r>
    </w:p>
    <w:p>
      <w:pPr>
        <w:spacing w:after="0" w:line="1" w:lineRule="exact"/>
        <w:rPr>
          <w:sz w:val="20"/>
          <w:szCs w:val="20"/>
          <w:color w:val="auto"/>
        </w:rPr>
      </w:pPr>
    </w:p>
    <w:p>
      <w:pPr>
        <w:jc w:val="right"/>
        <w:ind w:left="5262" w:right="5520" w:hanging="5262"/>
        <w:spacing w:after="0" w:line="397" w:lineRule="auto"/>
        <w:tabs>
          <w:tab w:leader="none" w:pos="31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distribution information obtained from our specialty pharmacy.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274955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2"/>
          </w:cols>
          <w:pgMar w:left="598" w:top="576" w:right="339" w:bottom="1440" w:gutter="0" w:footer="0" w:header="0"/>
        </w:sectPr>
      </w:pPr>
    </w:p>
    <w:bookmarkStart w:id="35" w:name="page36"/>
    <w:bookmarkEnd w:id="35"/>
    <w:p>
      <w:pPr>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are discounts that occur when certain contracted customers, pharmacy benefit managers, insurance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83"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Co-payment assistance and patient assistance programs</w:t>
      </w:r>
      <w:r>
        <w:rPr>
          <w:rFonts w:ascii="Times New Roman" w:cs="Times New Roman" w:eastAsia="Times New Roman" w:hAnsi="Times New Roman"/>
          <w:sz w:val="18"/>
          <w:szCs w:val="18"/>
          <w:color w:val="auto"/>
        </w:rPr>
        <w:t>. 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8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do not provide contractual return rights to our customers, except in instances where the product is damaged or defective.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and Other Research and Development Arrangements and Royalties</w:t>
      </w:r>
    </w:p>
    <w:p>
      <w:pPr>
        <w:spacing w:after="0" w:line="227" w:lineRule="exact"/>
        <w:rPr>
          <w:sz w:val="20"/>
          <w:szCs w:val="20"/>
          <w:color w:val="auto"/>
        </w:rPr>
      </w:pPr>
    </w:p>
    <w:p>
      <w:pPr>
        <w:ind w:right="140" w:firstLine="414"/>
        <w:spacing w:after="0" w:line="261"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0" w:lineRule="exact"/>
        <w:rPr>
          <w:sz w:val="20"/>
          <w:szCs w:val="20"/>
          <w:color w:val="auto"/>
        </w:rPr>
      </w:pPr>
    </w:p>
    <w:p>
      <w:pPr>
        <w:ind w:right="580" w:firstLine="414"/>
        <w:spacing w:after="0" w:line="282" w:lineRule="auto"/>
        <w:rPr>
          <w:sz w:val="20"/>
          <w:szCs w:val="20"/>
          <w:color w:val="auto"/>
        </w:rPr>
      </w:pPr>
      <w:r>
        <w:rPr>
          <w:rFonts w:ascii="Times New Roman" w:cs="Times New Roman" w:eastAsia="Times New Roman" w:hAnsi="Times New Roman"/>
          <w:sz w:val="18"/>
          <w:szCs w:val="18"/>
          <w:color w:val="auto"/>
        </w:rPr>
        <w:t>We have collaboration and license agreements with a number of third parties as well as research and development agreements with certain government entities.</w:t>
      </w:r>
    </w:p>
    <w:p>
      <w:pPr>
        <w:spacing w:after="0" w:line="162" w:lineRule="exact"/>
        <w:rPr>
          <w:sz w:val="20"/>
          <w:szCs w:val="20"/>
          <w:color w:val="auto"/>
        </w:rPr>
      </w:pPr>
    </w:p>
    <w:p>
      <w:pPr>
        <w:ind w:right="520" w:firstLine="414"/>
        <w:spacing w:after="0" w:line="282" w:lineRule="auto"/>
        <w:rPr>
          <w:sz w:val="20"/>
          <w:szCs w:val="20"/>
          <w:color w:val="auto"/>
        </w:rPr>
      </w:pPr>
      <w:r>
        <w:rPr>
          <w:rFonts w:ascii="Times New Roman" w:cs="Times New Roman" w:eastAsia="Times New Roman" w:hAnsi="Times New Roman"/>
          <w:sz w:val="18"/>
          <w:szCs w:val="18"/>
          <w:color w:val="auto"/>
        </w:rPr>
        <w:t>Our primary sources of revenue from these collaborative and other research and development arrangements are license, service and royalty revenues.</w:t>
      </w:r>
    </w:p>
    <w:p>
      <w:pPr>
        <w:spacing w:after="0" w:line="162" w:lineRule="exact"/>
        <w:rPr>
          <w:sz w:val="20"/>
          <w:szCs w:val="20"/>
          <w:color w:val="auto"/>
        </w:rPr>
      </w:pPr>
    </w:p>
    <w:p>
      <w:pPr>
        <w:ind w:right="140" w:firstLine="414"/>
        <w:spacing w:after="0" w:line="266" w:lineRule="auto"/>
        <w:rPr>
          <w:sz w:val="20"/>
          <w:szCs w:val="20"/>
          <w:color w:val="auto"/>
        </w:rPr>
      </w:pPr>
      <w:r>
        <w:rPr>
          <w:rFonts w:ascii="Times New Roman" w:cs="Times New Roman" w:eastAsia="Times New Roman" w:hAnsi="Times New Roman"/>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76" w:lineRule="exact"/>
        <w:rPr>
          <w:sz w:val="20"/>
          <w:szCs w:val="20"/>
          <w:color w:val="auto"/>
        </w:rPr>
      </w:pPr>
    </w:p>
    <w:p>
      <w:pPr>
        <w:ind w:firstLine="414"/>
        <w:spacing w:after="0" w:line="252" w:lineRule="auto"/>
        <w:rPr>
          <w:sz w:val="20"/>
          <w:szCs w:val="20"/>
          <w:color w:val="auto"/>
        </w:rPr>
      </w:pPr>
      <w:r>
        <w:rPr>
          <w:rFonts w:ascii="Times New Roman" w:cs="Times New Roman" w:eastAsia="Times New Roman" w:hAnsi="Times New Roman"/>
          <w:sz w:val="18"/>
          <w:szCs w:val="18"/>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97" w:lineRule="exact"/>
        <w:rPr>
          <w:sz w:val="20"/>
          <w:szCs w:val="20"/>
          <w:color w:val="auto"/>
        </w:rPr>
      </w:pPr>
    </w:p>
    <w:p>
      <w:pPr>
        <w:jc w:val="both"/>
        <w:ind w:right="60" w:firstLine="414"/>
        <w:spacing w:after="0" w:line="266" w:lineRule="auto"/>
        <w:rPr>
          <w:sz w:val="20"/>
          <w:szCs w:val="20"/>
          <w:color w:val="auto"/>
        </w:rPr>
      </w:pPr>
      <w:r>
        <w:rPr>
          <w:rFonts w:ascii="Times New Roman" w:cs="Times New Roman" w:eastAsia="Times New Roman" w:hAnsi="Times New Roman"/>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76" w:lineRule="exact"/>
        <w:rPr>
          <w:sz w:val="20"/>
          <w:szCs w:val="20"/>
          <w:color w:val="auto"/>
        </w:rPr>
      </w:pPr>
    </w:p>
    <w:p>
      <w:pPr>
        <w:ind w:firstLine="414"/>
        <w:spacing w:after="0" w:line="266" w:lineRule="auto"/>
        <w:rPr>
          <w:sz w:val="20"/>
          <w:szCs w:val="20"/>
          <w:color w:val="auto"/>
        </w:rPr>
      </w:pPr>
      <w:r>
        <w:rPr>
          <w:rFonts w:ascii="Times New Roman" w:cs="Times New Roman" w:eastAsia="Times New Roman" w:hAnsi="Times New Roman"/>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8" w:right="359" w:bottom="1440" w:gutter="0" w:footer="0" w:header="0"/>
        </w:sectPr>
      </w:pPr>
    </w:p>
    <w:bookmarkStart w:id="36" w:name="page37"/>
    <w:bookmarkEnd w:id="36"/>
    <w:p>
      <w:pPr>
        <w:jc w:val="both"/>
        <w:ind w:right="380" w:firstLine="414"/>
        <w:spacing w:after="0" w:line="266" w:lineRule="auto"/>
        <w:rPr>
          <w:sz w:val="20"/>
          <w:szCs w:val="20"/>
          <w:color w:val="auto"/>
        </w:rPr>
      </w:pPr>
      <w:r>
        <w:rPr>
          <w:rFonts w:ascii="Times New Roman" w:cs="Times New Roman" w:eastAsia="Times New Roman" w:hAnsi="Times New Roman"/>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inventories primarily relate to ORLADEYO. Additionally, our inventory includes RAPIVAB and peramivir.</w:t>
      </w:r>
    </w:p>
    <w:p>
      <w:pPr>
        <w:spacing w:after="0" w:line="22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spacing w:after="0" w:line="176" w:lineRule="exact"/>
        <w:rPr>
          <w:sz w:val="20"/>
          <w:szCs w:val="20"/>
          <w:color w:val="auto"/>
        </w:rPr>
      </w:pPr>
    </w:p>
    <w:p>
      <w:pPr>
        <w:jc w:val="both"/>
        <w:ind w:firstLine="522"/>
        <w:spacing w:after="0" w:line="266" w:lineRule="auto"/>
        <w:rPr>
          <w:sz w:val="20"/>
          <w:szCs w:val="20"/>
          <w:color w:val="auto"/>
        </w:rPr>
      </w:pPr>
      <w:r>
        <w:rPr>
          <w:rFonts w:ascii="Times New Roman" w:cs="Times New Roman" w:eastAsia="Times New Roman" w:hAnsi="Times New Roman"/>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9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60" w:lineRule="exact"/>
        <w:rPr>
          <w:sz w:val="20"/>
          <w:szCs w:val="20"/>
          <w:color w:val="auto"/>
        </w:rPr>
      </w:pPr>
    </w:p>
    <w:p>
      <w:pPr>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Contract assets</w:t>
      </w:r>
      <w:r>
        <w:rPr>
          <w:rFonts w:ascii="Times New Roman" w:cs="Times New Roman" w:eastAsia="Times New Roman" w:hAnsi="Times New Roman"/>
          <w:sz w:val="18"/>
          <w:szCs w:val="18"/>
          <w:color w:val="auto"/>
        </w:rPr>
        <w:t>. Our long-term contracts are billed as work progresses in accordance with the contract terms and conditions, either at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intervals or upon achievement of certain milestones. Often this results in billing occurring subsequent to revenue recognition, resulting in contract assets. Contract assets are generally classified as current assets in the Consolidated Balance Sheets.</w:t>
      </w:r>
    </w:p>
    <w:p>
      <w:pPr>
        <w:spacing w:after="0" w:line="173"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We often receive cash payments from customers in advance of our performance, resulting in contract liabilities.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liabilities are classified as either current or long-term in the Consolidated Balance Sheets based on the timing of when we expect to recognize the revenue.</w:t>
      </w:r>
    </w:p>
    <w:p>
      <w:pPr>
        <w:spacing w:after="0" w:line="1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right="140" w:firstLine="486"/>
        <w:spacing w:after="0" w:line="312" w:lineRule="auto"/>
        <w:rPr>
          <w:sz w:val="20"/>
          <w:szCs w:val="20"/>
          <w:color w:val="auto"/>
        </w:rPr>
      </w:pPr>
      <w:r>
        <w:rPr>
          <w:rFonts w:ascii="Times New Roman" w:cs="Times New Roman" w:eastAsia="Times New Roman" w:hAnsi="Times New Roman"/>
          <w:sz w:val="17"/>
          <w:szCs w:val="17"/>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89"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80"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Royalty Financing Obligations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royalty financing obligations are eligible to be repaid based on royalties from net sales of ORLADEYO, BCX9930, and another earlier stage Factor D inhibitor.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Tax</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8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Beginning in fiscal year 2021, we began accruing U.S. state income taxes and foreign income taxes as a result of increased sales of ORLADEYO and increased nexus in multiple states and foreign jurisdictions where historically we had no presence.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“Note 1 Significant Accounting Policies and Concentrations of Risk” in the Notes to Consolidated Financial Statements included in Part I, Item 1 of this report discusses accounting pronouncements recently issued or proposed but not yet required to be adopted.</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6" w:right="359" w:bottom="1440" w:gutter="0" w:footer="0" w:header="0"/>
        </w:sectPr>
      </w:pPr>
    </w:p>
    <w:bookmarkStart w:id="39" w:name="page40"/>
    <w:bookmarkEnd w:id="39"/>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on our investment portfolio and borrowings under our Credit Agreement. The Term A Loan under the Credit Agreement bears interest each quarter at a rate equal to the three-month LIBOR rate, which is capped to be no less than 1.75% and no more than 3.50% (“LIBOR”), plus 8.25% or, for each quarterly interest period in which a PIK Interest Payment is made, LIBOR plus 10.25%. Accordingly, increases in interest rates could increase the associated interest payments that we are required to make on the Term Loans. As of March 31, 2022 interest was accrued at 12.17% on the $125.0 million Term A Loan under the Credit Agreement.</w:t>
      </w:r>
    </w:p>
    <w:p>
      <w:pPr>
        <w:spacing w:after="0" w:line="1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83"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90" w:lineRule="exact"/>
        <w:rPr>
          <w:sz w:val="20"/>
          <w:szCs w:val="20"/>
          <w:color w:val="auto"/>
        </w:rPr>
      </w:pPr>
    </w:p>
    <w:p>
      <w:pPr>
        <w:ind w:right="20" w:firstLine="522"/>
        <w:spacing w:after="0" w:line="282" w:lineRule="auto"/>
        <w:rPr>
          <w:sz w:val="20"/>
          <w:szCs w:val="20"/>
          <w:color w:val="auto"/>
        </w:rPr>
      </w:pPr>
      <w:r>
        <w:rPr>
          <w:rFonts w:ascii="Times New Roman" w:cs="Times New Roman" w:eastAsia="Times New Roman" w:hAnsi="Times New Roman"/>
          <w:sz w:val="18"/>
          <w:szCs w:val="18"/>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Most of our revenues and expenses are denominated in U.S. dollars, and as a result, we have not experienced significant foreign currency transaction gains and losses to date. Our commercial sales in Europe are primarily denominated in Euros and the British Pound. We also had other transactions denominated in foreign currencies during the three months ended March 31, 2022,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three months ended March 31, 2022; however, we may do so in the future.</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80" w:firstLine="522"/>
        <w:spacing w:after="0" w:line="271" w:lineRule="auto"/>
        <w:rPr>
          <w:sz w:val="20"/>
          <w:szCs w:val="20"/>
          <w:color w:val="auto"/>
        </w:rPr>
      </w:pPr>
      <w:r>
        <w:rPr>
          <w:rFonts w:ascii="Times New Roman" w:cs="Times New Roman" w:eastAsia="Times New Roman" w:hAnsi="Times New Roman"/>
          <w:sz w:val="17"/>
          <w:szCs w:val="17"/>
          <w:color w:val="auto"/>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March 31, 2022,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73" w:lineRule="exact"/>
        <w:rPr>
          <w:sz w:val="20"/>
          <w:szCs w:val="20"/>
          <w:color w:val="auto"/>
        </w:rPr>
      </w:pPr>
    </w:p>
    <w:p>
      <w:pPr>
        <w:ind w:right="340" w:firstLine="522"/>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March 31, 2022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6" w:right="359" w:bottom="1440" w:gutter="0" w:footer="0" w:header="0"/>
        </w:sectPr>
      </w:pPr>
    </w:p>
    <w:bookmarkStart w:id="40" w:name="page41"/>
    <w:bookmarkEnd w:id="40"/>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jc w:val="both"/>
        <w:ind w:left="20" w:right="80" w:firstLine="522"/>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Risks Relating to COVID-19</w:t>
      </w:r>
    </w:p>
    <w:p>
      <w:pPr>
        <w:spacing w:after="0" w:line="221" w:lineRule="exact"/>
        <w:rPr>
          <w:sz w:val="20"/>
          <w:szCs w:val="20"/>
          <w:color w:val="auto"/>
        </w:rPr>
      </w:pPr>
    </w:p>
    <w:p>
      <w:pPr>
        <w:jc w:val="both"/>
        <w:ind w:left="20" w:hanging="1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spacing w:after="0" w:line="175" w:lineRule="exact"/>
        <w:rPr>
          <w:sz w:val="20"/>
          <w:szCs w:val="20"/>
          <w:color w:val="auto"/>
        </w:rPr>
      </w:pPr>
    </w:p>
    <w:p>
      <w:pPr>
        <w:ind w:left="20" w:right="160" w:firstLine="450"/>
        <w:spacing w:after="0" w:line="255" w:lineRule="auto"/>
        <w:rPr>
          <w:sz w:val="20"/>
          <w:szCs w:val="20"/>
          <w:color w:val="auto"/>
        </w:rPr>
      </w:pPr>
      <w:r>
        <w:rPr>
          <w:rFonts w:ascii="Times New Roman" w:cs="Times New Roman" w:eastAsia="Times New Roman" w:hAnsi="Times New Roman"/>
          <w:sz w:val="18"/>
          <w:szCs w:val="18"/>
          <w:color w:val="auto"/>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EMA, Japanese Pharmaceuticals and Medical Devices Agency (“PMDA”), and other health and governmental authorities, which could result in delays of reviews and approvals.</w:t>
      </w:r>
    </w:p>
    <w:p>
      <w:pPr>
        <w:spacing w:after="0" w:line="189" w:lineRule="exact"/>
        <w:rPr>
          <w:sz w:val="20"/>
          <w:szCs w:val="20"/>
          <w:color w:val="auto"/>
        </w:rPr>
      </w:pPr>
    </w:p>
    <w:p>
      <w:pPr>
        <w:ind w:left="20" w:right="20" w:firstLine="450"/>
        <w:spacing w:after="0" w:line="254" w:lineRule="auto"/>
        <w:rPr>
          <w:sz w:val="20"/>
          <w:szCs w:val="20"/>
          <w:color w:val="auto"/>
        </w:rPr>
      </w:pPr>
      <w:r>
        <w:rPr>
          <w:rFonts w:ascii="Times New Roman" w:cs="Times New Roman" w:eastAsia="Times New Roman" w:hAnsi="Times New Roman"/>
          <w:sz w:val="18"/>
          <w:szCs w:val="18"/>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spacing w:after="0" w:line="192" w:lineRule="exact"/>
        <w:rPr>
          <w:sz w:val="20"/>
          <w:szCs w:val="20"/>
          <w:color w:val="auto"/>
        </w:rPr>
      </w:pPr>
    </w:p>
    <w:p>
      <w:pPr>
        <w:ind w:left="20" w:right="60" w:firstLine="450"/>
        <w:spacing w:after="0" w:line="255" w:lineRule="auto"/>
        <w:rPr>
          <w:sz w:val="20"/>
          <w:szCs w:val="20"/>
          <w:color w:val="auto"/>
        </w:rPr>
      </w:pPr>
      <w:r>
        <w:rPr>
          <w:rFonts w:ascii="Times New Roman" w:cs="Times New Roman" w:eastAsia="Times New Roman" w:hAnsi="Times New Roman"/>
          <w:sz w:val="18"/>
          <w:szCs w:val="18"/>
          <w:color w:val="auto"/>
        </w:rPr>
        <w:t>In addition, our clinical trials have been and may continue to be affected by the COVID-19 pandemic. For example, the acceleration of COVID-19 slowed startup of the inadequate C5 responder cohorts in our complement oral Factor D inhibitor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189" w:lineRule="exact"/>
        <w:rPr>
          <w:sz w:val="20"/>
          <w:szCs w:val="20"/>
          <w:color w:val="auto"/>
        </w:rPr>
      </w:pPr>
    </w:p>
    <w:p>
      <w:pPr>
        <w:ind w:left="20" w:right="180" w:firstLine="450"/>
        <w:spacing w:after="0" w:line="266" w:lineRule="auto"/>
        <w:rPr>
          <w:sz w:val="20"/>
          <w:szCs w:val="20"/>
          <w:color w:val="auto"/>
        </w:rPr>
      </w:pPr>
      <w:r>
        <w:rPr>
          <w:rFonts w:ascii="Times New Roman" w:cs="Times New Roman" w:eastAsia="Times New Roman" w:hAnsi="Times New Roman"/>
          <w:sz w:val="18"/>
          <w:szCs w:val="18"/>
          <w:color w:val="auto"/>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spacing w:after="0" w:line="176" w:lineRule="exact"/>
        <w:rPr>
          <w:sz w:val="20"/>
          <w:szCs w:val="20"/>
          <w:color w:val="auto"/>
        </w:rPr>
      </w:pPr>
    </w:p>
    <w:p>
      <w:pPr>
        <w:ind w:left="20" w:right="20" w:firstLine="450"/>
        <w:spacing w:after="0" w:line="255" w:lineRule="auto"/>
        <w:rPr>
          <w:sz w:val="20"/>
          <w:szCs w:val="20"/>
          <w:color w:val="auto"/>
        </w:rPr>
      </w:pPr>
      <w:r>
        <w:rPr>
          <w:rFonts w:ascii="Times New Roman" w:cs="Times New Roman" w:eastAsia="Times New Roman" w:hAnsi="Times New Roman"/>
          <w:sz w:val="18"/>
          <w:szCs w:val="18"/>
          <w:color w:val="auto"/>
        </w:rPr>
        <w:t>Although our business operations under the ongoing COVID-19 pandemic continue to evolve, where possible and practical, we continue to provide work-from-home flexibility for our employees, which could negatively impact productivity, disrupt our business and delay our clinical programs and timelines. In addition, we are a government contractor, and as such, we are subject to the federal COVID-19 safety protocols, including the vaccine mandate. We cannot accurately predict the impact on operations of our return-to-the-office plan, nor of the federal COVID-19 safety protocols on our business or on third parties with whom we conduct business. Our business may be negatively impacted in the event that large numbers of employees or key employees do not comply with these protocols. These and similar, and perhaps more severe, disruptions in our operations could negatively impact our business, operating results and financial condition.</w:t>
      </w:r>
    </w:p>
    <w:p>
      <w:pPr>
        <w:spacing w:after="0" w:line="189" w:lineRule="exact"/>
        <w:rPr>
          <w:sz w:val="20"/>
          <w:szCs w:val="20"/>
          <w:color w:val="auto"/>
        </w:rPr>
      </w:pPr>
    </w:p>
    <w:p>
      <w:pPr>
        <w:ind w:left="20" w:right="20" w:firstLine="450"/>
        <w:spacing w:after="0" w:line="258"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could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and related responses could materially affect our business and the value of our common stock.</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76" w:right="339" w:bottom="1440" w:gutter="0" w:footer="0" w:header="0"/>
        </w:sectPr>
      </w:pPr>
    </w:p>
    <w:bookmarkStart w:id="41" w:name="page42"/>
    <w:bookmarkEnd w:id="41"/>
    <w:p>
      <w:pPr>
        <w:jc w:val="both"/>
        <w:ind w:right="100" w:firstLine="450"/>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Liquidity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such losses, and may never be profitable.</w:t>
      </w:r>
    </w:p>
    <w:p>
      <w:pPr>
        <w:spacing w:after="0" w:line="22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and OMERS, as applicable, royalties on certain revenues from ORLADEYO, BCX9930, and another earlier stage Factor D inhibitor under the Royalty Purchase Agreements, may reduce the profitability of such products.</w:t>
      </w:r>
    </w:p>
    <w:p>
      <w:pPr>
        <w:spacing w:after="0" w:line="188"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If we are unable to raise capital when needed, we may need to adjust our operations.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sustained operating losses for the majority of our corporate history and expect that our 2022 expenses will exceed our 2022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continue to incur operating losses and negative cash flows unless and until revenues reach a level sufficient to support ongoing operations.</w:t>
      </w:r>
    </w:p>
    <w:p>
      <w:pPr>
        <w:spacing w:after="0" w:line="218"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regularly evaluate other opportunities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spacing w:after="0" w:line="18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Drug Development and Commercialization</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advance our product candidates through the various stages of development, especially through the clinical trial process, and to receive regulatory approval for the commercial sale of our product candidates.</w:t>
      </w:r>
    </w:p>
    <w:p>
      <w:pPr>
        <w:spacing w:after="0" w:line="159"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18"/>
          <w:szCs w:val="18"/>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2" w:name="page43"/>
    <w:bookmarkEnd w:id="42"/>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our Factor D program (inclusive of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be associated with or to cause undesirable or unexpected side effects that could result in delays in the development of our product candidates, significant unexpected costs, or the termination of programs. For example, we recently voluntarily paused enrollment in clinical trials with BCX9930 while we investigate elevated serum creatinine seen in some patients, and the FDA subsequently informed us that it has placed the clinical program for BCX9930 on a partial clinical hold. Under the partial clinical hold, we may not enroll new patients in BCX9930 clinical trials. Until we complete our investigation and consult our medical experts and appropriate regulatory authorities, we cannot predict the likelihood of any potential outcomes, including, but not limited to, the potential resumption of trial enrollments, or a potential decision not to continue the trials. In addition, the development plans for our product candidates, including our clinical trials, may not be adequately designed or executed, which could negatively affect the outcome and analysis of study results. Because of the cost and duration of clinical trials, we may decide to discontinue development of product candidates for various reasons, including, but not limited to, they are unlikely to show favorable results in clinical trials, unlikely to help advance a product to the point of a meaningful collaboration, or unlikely to have reasonable commercial potential.</w:t>
      </w:r>
    </w:p>
    <w:p>
      <w:pPr>
        <w:spacing w:after="0" w:line="192"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successfully complete the clinical development process is dependent upon many factors, including but not limited to:</w:t>
      </w:r>
    </w:p>
    <w:p>
      <w:pPr>
        <w:spacing w:after="0" w:line="225" w:lineRule="exact"/>
        <w:rPr>
          <w:sz w:val="20"/>
          <w:szCs w:val="20"/>
          <w:color w:val="auto"/>
        </w:rPr>
      </w:pPr>
    </w:p>
    <w:p>
      <w:pPr>
        <w:ind w:left="520" w:hanging="225"/>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secure suitable clinical sites and investigators and to enroll and maintain an adequate number of patients on a timely basis or at all;</w:t>
      </w:r>
    </w:p>
    <w:p>
      <w:pPr>
        <w:ind w:left="520" w:hanging="225"/>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a clinical trial may not comply with the clinical trial protocol or maintain contact with investigators to provide complete data during and after treatment;</w:t>
      </w:r>
    </w:p>
    <w:p>
      <w:pPr>
        <w:ind w:left="520" w:hanging="225"/>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prove to be either safe or effective or may produce unfavorable or inconclusive results;</w:t>
      </w:r>
    </w:p>
    <w:p>
      <w:pPr>
        <w:spacing w:after="0" w:line="9" w:lineRule="exact"/>
        <w:rPr>
          <w:rFonts w:ascii="Times New Roman" w:cs="Times New Roman" w:eastAsia="Times New Roman" w:hAnsi="Times New Roman"/>
          <w:sz w:val="18"/>
          <w:szCs w:val="18"/>
          <w:color w:val="auto"/>
        </w:rPr>
      </w:pPr>
    </w:p>
    <w:p>
      <w:pPr>
        <w:jc w:val="both"/>
        <w:ind w:left="520" w:hanging="225"/>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spacing w:after="0" w:line="1"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or our partners’ clinical trial protocols or our or their interpretation of data from preclinical studies and clinical trials;</w:t>
      </w:r>
    </w:p>
    <w:p>
      <w:pPr>
        <w:ind w:left="520" w:hanging="225"/>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protocols or study procedures may not be adequately designed or followed by the investigators;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improvements may not work as expected, which could negatively impact commercial demand for our product candidates;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520" w:hanging="225"/>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ind w:left="520" w:hanging="225"/>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spacing w:after="0" w:line="18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3" w:name="page44"/>
    <w:bookmarkEnd w:id="43"/>
    <w:p>
      <w:pPr>
        <w:ind w:left="520" w:hanging="225"/>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studies and clinical trials may be greater than we anticipate;</w:t>
      </w:r>
    </w:p>
    <w:p>
      <w:pPr>
        <w:spacing w:after="0" w:line="27" w:lineRule="exact"/>
        <w:rPr>
          <w:rFonts w:ascii="Times New Roman" w:cs="Times New Roman" w:eastAsia="Times New Roman" w:hAnsi="Times New Roman"/>
          <w:sz w:val="18"/>
          <w:szCs w:val="18"/>
          <w:color w:val="auto"/>
        </w:rPr>
      </w:pPr>
    </w:p>
    <w:p>
      <w:pPr>
        <w:jc w:val="both"/>
        <w:ind w:left="520" w:hanging="225"/>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one or more of the foregoing factors.</w:t>
      </w:r>
    </w:p>
    <w:p>
      <w:pPr>
        <w:spacing w:after="0" w:line="20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520" w:hanging="225"/>
        <w:spacing w:after="0" w:line="26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natural proteins that cause or enable biological reactions necessary for the progression of the disease or disorder, called enzyme targets;</w:t>
      </w:r>
    </w:p>
    <w:p>
      <w:pPr>
        <w:ind w:left="520" w:hanging="22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certain pharmacology preclinical studies and late-stage development for our compounds and product candidates;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our phase 1, 2 and 3 clinical trials, including medical monitoring, laboratory testing, and data management;</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toxicology studies that may be required to obtain approval for our product candidates;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formulation improvement strategies and methods;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520" w:hanging="22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certain regulatory interactions outside of the United States.</w:t>
      </w:r>
    </w:p>
    <w:p>
      <w:pPr>
        <w:spacing w:after="0" w:line="207"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89"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188"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or acceptable partnership arrangements, we may be unable to complete the development and commercialization of our products and product candidates or continue operations.</w:t>
      </w:r>
    </w:p>
    <w:p>
      <w:pPr>
        <w:spacing w:after="0" w:line="15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spacing w:after="0" w:line="18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4" w:name="page45"/>
    <w:bookmarkEnd w:id="44"/>
    <w:p>
      <w:pPr>
        <w:ind w:firstLine="450"/>
        <w:spacing w:after="0" w:line="253" w:lineRule="auto"/>
        <w:rPr>
          <w:sz w:val="20"/>
          <w:szCs w:val="20"/>
          <w:color w:val="auto"/>
        </w:rPr>
      </w:pPr>
      <w:r>
        <w:rPr>
          <w:rFonts w:ascii="Times New Roman" w:cs="Times New Roman" w:eastAsia="Times New Roman" w:hAnsi="Times New Roman"/>
          <w:sz w:val="18"/>
          <w:szCs w:val="18"/>
          <w:color w:val="auto"/>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BCX9250 for the treatment of FOP, our Factor D program (including BCX9930) for diseases of the complement system, our broad-spectrum antiviral program, including galidesivir, and other 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and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spacing w:after="0" w:line="175"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0"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18"/>
          <w:szCs w:val="18"/>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 product candidates,” we or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92"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adverse drug experience reporting regulations;</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5" w:name="page46"/>
    <w:bookmarkEnd w:id="45"/>
    <w:p>
      <w:pPr>
        <w:ind w:left="620" w:hanging="22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promotion;</w:t>
      </w:r>
    </w:p>
    <w:p>
      <w:pPr>
        <w:spacing w:after="0" w:line="27"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including good manufacturing practice requirements; and</w:t>
      </w:r>
    </w:p>
    <w:p>
      <w:pPr>
        <w:spacing w:after="0" w:line="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 or modifications.</w:t>
      </w:r>
    </w:p>
    <w:p>
      <w:pPr>
        <w:spacing w:after="0" w:line="207" w:lineRule="exact"/>
        <w:rPr>
          <w:sz w:val="20"/>
          <w:szCs w:val="20"/>
          <w:color w:val="auto"/>
        </w:rPr>
      </w:pPr>
    </w:p>
    <w:p>
      <w:pPr>
        <w:jc w:val="both"/>
        <w:ind w:right="180" w:firstLine="450"/>
        <w:spacing w:after="0" w:line="266" w:lineRule="auto"/>
        <w:rPr>
          <w:sz w:val="20"/>
          <w:szCs w:val="20"/>
          <w:color w:val="auto"/>
        </w:rPr>
      </w:pPr>
      <w:r>
        <w:rPr>
          <w:rFonts w:ascii="Times New Roman" w:cs="Times New Roman" w:eastAsia="Times New Roman" w:hAnsi="Times New Roman"/>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focus on rare diseases, which may create additional risks and challenges.</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and BCX9250 has been granted access to PRIME by the EMA, we may not experience a faster development, review or approval process compared to the conventional process in the relevant jurisdictions. We may not be able to obtain or maintain these designations for BCX9930, BCX9250,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viability of any approved product could be compromised if the product is less effective than expected, causes undesirable side effects that were not previously identified, or fails to achieve market acceptance within the medical community.</w:t>
      </w:r>
    </w:p>
    <w:p>
      <w:pPr>
        <w:spacing w:after="0" w:line="159"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If, after obtaining regulatory approval of a product, we or others discover that it is less effective than previously believed or causes undesirable side effects that were not previously identified, any of the following adverse events could occur:</w:t>
      </w:r>
    </w:p>
    <w:p>
      <w:pPr>
        <w:spacing w:after="0" w:line="162" w:lineRule="exact"/>
        <w:rPr>
          <w:sz w:val="20"/>
          <w:szCs w:val="20"/>
          <w:color w:val="auto"/>
        </w:rPr>
      </w:pPr>
    </w:p>
    <w:p>
      <w:pPr>
        <w:ind w:left="620" w:right="120" w:hanging="226"/>
        <w:spacing w:after="0" w:line="261"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ind w:left="620" w:right="120" w:hanging="226"/>
        <w:spacing w:after="0" w:line="250"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recall the product, change the way the product is administered, conduct additional clinical trials, or be subject to civil or criminal penalties; and</w:t>
      </w:r>
    </w:p>
    <w:p>
      <w:pPr>
        <w:ind w:left="620" w:hanging="226"/>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07"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7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spacing w:after="0" w:line="176"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Currently, we have established collaborative relationships, including with Torii for the commercialization of ORLADEYO in Japan and with each of Shionogi and Green Cross for the development and commercialization of peramivir. The process of establishing and implementing collaborative relationships is difficult, time-consuming and involves significant uncertainty, including:</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6" w:name="page47"/>
    <w:bookmarkEnd w:id="46"/>
    <w:p>
      <w:pPr>
        <w:ind w:left="520" w:hanging="225"/>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seek to renegotiate or terminate their relationships with us due to unsatisfactory commercial, regulatory or clinical results, including post-approval clinical commitments, a change in business strategy, a change of control or other reasons;</w:t>
      </w:r>
    </w:p>
    <w:p>
      <w:pPr>
        <w:ind w:left="520" w:hanging="22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may expire;</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expiration or termination of collaborative relationships, such as those with certain of our distribution partners, may trigger repurchase obligations of the Company for unsold product held by our partner;</w:t>
      </w:r>
    </w:p>
    <w:p>
      <w:pPr>
        <w:ind w:left="520" w:hanging="22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in the past, and in the future may have, disputes with a partner that could lead to litigation or arbitration, which could result in substantial costs and divert the attention of our management;</w:t>
      </w:r>
    </w:p>
    <w:p>
      <w:pPr>
        <w:ind w:left="520" w:hanging="22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day-to-day control over the activities of our partners and have limited control over their decisions;</w:t>
      </w:r>
    </w:p>
    <w:p>
      <w:pPr>
        <w:spacing w:after="0" w:line="9" w:lineRule="exact"/>
        <w:rPr>
          <w:rFonts w:ascii="Times New Roman" w:cs="Times New Roman" w:eastAsia="Times New Roman" w:hAnsi="Times New Roman"/>
          <w:sz w:val="18"/>
          <w:szCs w:val="18"/>
          <w:color w:val="auto"/>
        </w:rPr>
      </w:pPr>
    </w:p>
    <w:p>
      <w:pPr>
        <w:ind w:left="520" w:right="20" w:hanging="225"/>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jc w:val="both"/>
        <w:ind w:left="520" w:hanging="225"/>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devote sufficient capital or resources toward our products and product candidates;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comply with applicable government regulatory requirements.</w:t>
      </w:r>
    </w:p>
    <w:p>
      <w:pPr>
        <w:spacing w:after="0" w:line="207" w:lineRule="exact"/>
        <w:rPr>
          <w:sz w:val="20"/>
          <w:szCs w:val="20"/>
          <w:color w:val="auto"/>
        </w:rPr>
      </w:pPr>
    </w:p>
    <w:p>
      <w:pPr>
        <w:ind w:right="120" w:firstLine="450"/>
        <w:spacing w:after="0" w:line="273" w:lineRule="auto"/>
        <w:rPr>
          <w:sz w:val="20"/>
          <w:szCs w:val="20"/>
          <w:color w:val="auto"/>
        </w:rPr>
      </w:pPr>
      <w:r>
        <w:rPr>
          <w:rFonts w:ascii="Times New Roman" w:cs="Times New Roman" w:eastAsia="Times New Roman" w:hAnsi="Times New Roman"/>
          <w:sz w:val="17"/>
          <w:szCs w:val="17"/>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partnership with Torii may not meet our current expectations.</w:t>
      </w:r>
    </w:p>
    <w:p>
      <w:pPr>
        <w:spacing w:after="0" w:line="229"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80" w:lineRule="exact"/>
        <w:rPr>
          <w:sz w:val="20"/>
          <w:szCs w:val="20"/>
          <w:color w:val="auto"/>
        </w:rPr>
      </w:pPr>
    </w:p>
    <w:p>
      <w:pPr>
        <w:ind w:right="200" w:firstLine="450"/>
        <w:spacing w:after="0" w:line="256" w:lineRule="auto"/>
        <w:rPr>
          <w:sz w:val="20"/>
          <w:szCs w:val="20"/>
          <w:color w:val="auto"/>
        </w:rPr>
      </w:pPr>
      <w:r>
        <w:rPr>
          <w:rFonts w:ascii="Times New Roman" w:cs="Times New Roman" w:eastAsia="Times New Roman" w:hAnsi="Times New Roman"/>
          <w:sz w:val="18"/>
          <w:szCs w:val="18"/>
          <w:color w:val="auto"/>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87" w:lineRule="exact"/>
        <w:rPr>
          <w:sz w:val="20"/>
          <w:szCs w:val="20"/>
          <w:color w:val="auto"/>
        </w:rPr>
      </w:pPr>
    </w:p>
    <w:p>
      <w:pPr>
        <w:ind w:right="60" w:firstLine="450"/>
        <w:spacing w:after="0" w:line="289" w:lineRule="auto"/>
        <w:rPr>
          <w:sz w:val="20"/>
          <w:szCs w:val="20"/>
          <w:color w:val="auto"/>
        </w:rPr>
      </w:pPr>
      <w:r>
        <w:rPr>
          <w:rFonts w:ascii="Times New Roman" w:cs="Times New Roman" w:eastAsia="Times New Roman" w:hAnsi="Times New Roman"/>
          <w:sz w:val="17"/>
          <w:szCs w:val="17"/>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spacing w:after="0" w:line="158"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7" w:name="page48"/>
    <w:bookmarkEnd w:id="47"/>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80"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commercialization efforts, methods, and strategies for our products or technologies will succeed, and our future revenue generation is uncertain.</w:t>
      </w:r>
    </w:p>
    <w:p>
      <w:pPr>
        <w:spacing w:after="0" w:line="159"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and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76" w:lineRule="exact"/>
        <w:rPr>
          <w:sz w:val="20"/>
          <w:szCs w:val="20"/>
          <w:color w:val="auto"/>
        </w:rPr>
      </w:pPr>
    </w:p>
    <w:p>
      <w:pPr>
        <w:ind w:left="520" w:hanging="225"/>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successfully complete clinical trials, or satisfy post-marketing commitments, sufficient to obtain and keep regulatory agency marketing approval;</w:t>
      </w:r>
    </w:p>
    <w:p>
      <w:pPr>
        <w:ind w:left="520" w:hanging="225"/>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jc w:val="both"/>
        <w:ind w:left="520" w:hanging="225"/>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employ a comprehensive and effective regulatory strategy, which could result in a delay or failure in commercialization of our products;</w:t>
      </w:r>
    </w:p>
    <w:p>
      <w:pPr>
        <w:ind w:left="520" w:hanging="225"/>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ability to successfully commercialize our products is affected by the competitive landscape, which cannot be fully known at this time;</w:t>
      </w:r>
    </w:p>
    <w:p>
      <w:pPr>
        <w:ind w:left="520" w:hanging="22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 sales would depend on our ability to obtain and maintain favorable pricing;</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is constantly changing, which could greatly affect usage of our products;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from product sales would depend on our ability to successfully complete clinical studies, obtain regulatory approvals, and manufacture, market, distribute and commercialize our approved drugs; and</w:t>
      </w:r>
    </w:p>
    <w:p>
      <w:pPr>
        <w:ind w:left="520" w:hanging="225"/>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us or our partners.</w:t>
      </w:r>
    </w:p>
    <w:p>
      <w:pPr>
        <w:spacing w:after="0" w:line="20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w:t>
      </w:r>
    </w:p>
    <w:p>
      <w:pPr>
        <w:spacing w:after="0" w:line="1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BCX9930, and another earlier stage Factor D inhibitor under the Royalty Purchase Agreements may reduce the profitability of such products.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expanding our development and regulatory capabilities and implementing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18"/>
          <w:szCs w:val="18"/>
          <w:color w:val="auto"/>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and we have continued to add additional headcount throughout 2021 and the first quarter of 2022.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48" w:name="page49"/>
    <w:bookmarkEnd w:id="48"/>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80"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spacing w:after="0" w:line="189" w:lineRule="exact"/>
        <w:rPr>
          <w:sz w:val="20"/>
          <w:szCs w:val="20"/>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resources being devoted in the manner necessary to satisfy our requirements within expected timeframes;</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production yields;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recalls of commercial product;</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scaling production to commercial and validation sizes;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delivery of materials required for the manufacturing process;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distribute commercial supplies of our products to commercial vendors or end users in a timely manner;</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scheduling of plant time with other vendors or unexpected equipment failure;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catastrophes that could strike their facilities or have an effect on infrastructure;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impurities in our drug substance or products that could affect availability of product for our clinical trials or future commercialization;</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control and assurance or inadequate process controls;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us with accurate or timely information regarding inventories, the number of patients who are using our products, or serious adverse events and/or product complaints regarding our products;</w:t>
      </w: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satisfy their financial obligations to us or to others;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breach of the manufacturing or distribution agreement by the third party;</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termination or nonrenewal of a critical agreement by the third party at a time that is costly or inconvenient to us; and</w:t>
      </w:r>
    </w:p>
    <w:p>
      <w:pPr>
        <w:spacing w:after="0" w:line="9" w:lineRule="exact"/>
        <w:rPr>
          <w:rFonts w:ascii="Times New Roman" w:cs="Times New Roman" w:eastAsia="Times New Roman" w:hAnsi="Times New Roman"/>
          <w:sz w:val="18"/>
          <w:szCs w:val="18"/>
          <w:color w:val="auto"/>
        </w:rPr>
      </w:pPr>
    </w:p>
    <w:p>
      <w:pPr>
        <w:ind w:left="520" w:hanging="225"/>
        <w:spacing w:after="0" w:line="26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compliance or cooperation with regulations and specifications or requests set forth by the FDA or other foreign regulatory agencies or local customs, particularly associated with ORLADEYO, BCX9930, BCX9250, galidesivir, peramivir and our early-stage compounds.</w:t>
      </w:r>
    </w:p>
    <w:p>
      <w:pPr>
        <w:spacing w:after="0" w:line="181" w:lineRule="exact"/>
        <w:rPr>
          <w:sz w:val="20"/>
          <w:szCs w:val="20"/>
          <w:color w:val="auto"/>
        </w:rPr>
      </w:pPr>
    </w:p>
    <w:p>
      <w:pPr>
        <w:ind w:right="260" w:firstLine="450"/>
        <w:spacing w:after="0" w:line="254" w:lineRule="auto"/>
        <w:rPr>
          <w:sz w:val="20"/>
          <w:szCs w:val="20"/>
          <w:color w:val="auto"/>
        </w:rPr>
      </w:pPr>
      <w:r>
        <w:rPr>
          <w:rFonts w:ascii="Times New Roman" w:cs="Times New Roman" w:eastAsia="Times New Roman" w:hAnsi="Times New Roman"/>
          <w:sz w:val="18"/>
          <w:szCs w:val="18"/>
          <w:color w:val="auto"/>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spacing w:after="0" w:line="192"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9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76" w:right="339" w:bottom="1440" w:gutter="0" w:footer="0" w:header="0"/>
        </w:sectPr>
      </w:pPr>
    </w:p>
    <w:bookmarkStart w:id="49" w:name="page50"/>
    <w:bookmarkEnd w:id="49"/>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75" w:lineRule="exact"/>
        <w:rPr>
          <w:sz w:val="20"/>
          <w:szCs w:val="20"/>
          <w:color w:val="auto"/>
        </w:rPr>
      </w:pPr>
    </w:p>
    <w:p>
      <w:pPr>
        <w:jc w:val="both"/>
        <w:ind w:right="120" w:firstLine="450"/>
        <w:spacing w:after="0" w:line="266" w:lineRule="auto"/>
        <w:rPr>
          <w:sz w:val="20"/>
          <w:szCs w:val="20"/>
          <w:color w:val="auto"/>
        </w:rPr>
      </w:pPr>
      <w:r>
        <w:rPr>
          <w:rFonts w:ascii="Times New Roman" w:cs="Times New Roman" w:eastAsia="Times New Roman" w:hAnsi="Times New Roman"/>
          <w:sz w:val="18"/>
          <w:szCs w:val="18"/>
          <w:color w:val="auto"/>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76" w:lineRule="exact"/>
        <w:rPr>
          <w:sz w:val="20"/>
          <w:szCs w:val="20"/>
          <w:color w:val="auto"/>
        </w:rPr>
      </w:pPr>
    </w:p>
    <w:p>
      <w:pPr>
        <w:ind w:left="520" w:hanging="225"/>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prove to be adequately safe and effective for market approval in markets other than the markets in which they are currently approved;</w:t>
      </w:r>
    </w:p>
    <w:p>
      <w:pPr>
        <w:ind w:left="520" w:hanging="225"/>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funding for post-marketing commitments and further development of our products may not be available timely, at all, or in sufficient amounts;</w:t>
      </w: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competing products could substantially replace potential demand for our products;</w:t>
      </w:r>
    </w:p>
    <w:p>
      <w:pPr>
        <w:spacing w:after="0" w:line="9" w:lineRule="exact"/>
        <w:rPr>
          <w:rFonts w:ascii="Times New Roman" w:cs="Times New Roman" w:eastAsia="Times New Roman" w:hAnsi="Times New Roman"/>
          <w:sz w:val="18"/>
          <w:szCs w:val="18"/>
          <w:color w:val="auto"/>
        </w:rPr>
      </w:pPr>
    </w:p>
    <w:p>
      <w:pPr>
        <w:ind w:left="520" w:right="20" w:hanging="225"/>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payors may not provide sufficient coverage or reimbursement, which would negatively impact the demand for our products;</w:t>
      </w:r>
    </w:p>
    <w:p>
      <w:pPr>
        <w:ind w:left="520" w:hanging="225"/>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520" w:hanging="225"/>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commercialization efforts for our products by us or our partners;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satisfaction with existing alternative therapies;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efficacy relative to other available therapies;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prevalence;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strategy may not be effective;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availability of imports or alternative products;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activities of competitors;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medical community to new treatment paradigms or standards of care;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Competing in Our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the demand for our products may be reduced.</w:t>
      </w:r>
    </w:p>
    <w:p>
      <w:pPr>
        <w:spacing w:after="0" w:line="229"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90" w:lineRule="exact"/>
        <w:rPr>
          <w:sz w:val="20"/>
          <w:szCs w:val="20"/>
          <w:color w:val="auto"/>
        </w:rPr>
      </w:pPr>
    </w:p>
    <w:p>
      <w:pPr>
        <w:ind w:left="520" w:hanging="22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preventing or reducing the incidence of disease, including vaccines;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 or other classes of therapeutic agents.</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7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others may render our products, product candidates, or technologies obsolete or noncompetitive.</w:t>
      </w:r>
    </w:p>
    <w:p>
      <w:pPr>
        <w:spacing w:after="0" w:line="229"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We received FDA approval of ORLADEYO, an oral, once-daily therapy for the prevention of HAE attacks in adults and pediatric patients 12 years and older, in December 2020. We subsequently received regulatory approvals for ORLADEYO in Japan, the European Union, the United Kingdom, and the United Arab Emirates.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 and Empaveli®),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spacing w:after="0" w:line="196"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If one or more of our competitors’ products or programs, including potential competitors not currently identified, are successful, the market for our products may be reduced or eliminated.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Compared to us, many of our competitors and potential competitors have substantially greater:</w:t>
      </w:r>
    </w:p>
    <w:p>
      <w:pPr>
        <w:spacing w:after="0" w:line="225" w:lineRule="exact"/>
        <w:rPr>
          <w:sz w:val="20"/>
          <w:szCs w:val="20"/>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and clinical testing experience;</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sales experience;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facilities.</w:t>
      </w:r>
    </w:p>
    <w:p>
      <w:pPr>
        <w:spacing w:after="0" w:line="207"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and Regulatory Risks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59"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Our and our partners’ activities related to approved products or, following their regulatory approval, any of our product candidates under development, such as BCX9930, BCX9250, and galidesivir, are subject to regulatory and law enforcement authorities in the United States (including the FDA, the Federal Trade Commission, the Department of Justice, and state and local governments) and their foreign equivalents (including the EMA, MHLW, MHRA, and others).</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9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76" w:right="339" w:bottom="798" w:gutter="0" w:footer="0" w:header="0"/>
        </w:sectPr>
      </w:pPr>
    </w:p>
    <w:bookmarkStart w:id="51" w:name="page52"/>
    <w:bookmarkEnd w:id="51"/>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89"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spacing w:after="0" w:line="192"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89"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HHS, the U.S. Department of Justice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8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9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00" w:top="580" w:right="379" w:bottom="1440" w:gutter="0" w:footer="0" w:header="0"/>
        </w:sectPr>
      </w:pPr>
    </w:p>
    <w:bookmarkStart w:id="52" w:name="page53"/>
    <w:bookmarkEnd w:id="52"/>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may be subject to new legislation, regulatory proposals and healthcare payor initiatives that may increase our costs of compliance and adversely affect our or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market our products, obtain collaborators and raise capital.</w:t>
      </w:r>
    </w:p>
    <w:p>
      <w:pPr>
        <w:spacing w:after="0" w:line="15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spacing w:after="0" w:line="188"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8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9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6" w:right="359" w:bottom="1440" w:gutter="0" w:footer="0" w:header="0"/>
        </w:sectPr>
      </w:pPr>
    </w:p>
    <w:bookmarkStart w:id="53" w:name="page54"/>
    <w:bookmarkEnd w:id="5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59" w:lineRule="exact"/>
        <w:rPr>
          <w:sz w:val="20"/>
          <w:szCs w:val="20"/>
          <w:color w:val="auto"/>
        </w:rPr>
      </w:pPr>
    </w:p>
    <w:p>
      <w:pPr>
        <w:ind w:firstLine="414"/>
        <w:spacing w:after="0" w:line="258" w:lineRule="auto"/>
        <w:rPr>
          <w:sz w:val="20"/>
          <w:szCs w:val="20"/>
          <w:color w:val="auto"/>
        </w:rPr>
      </w:pPr>
      <w:r>
        <w:rPr>
          <w:rFonts w:ascii="Times New Roman" w:cs="Times New Roman" w:eastAsia="Times New Roman" w:hAnsi="Times New Roman"/>
          <w:sz w:val="18"/>
          <w:szCs w:val="18"/>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22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59"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9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59" w:lineRule="exact"/>
        <w:rPr>
          <w:sz w:val="20"/>
          <w:szCs w:val="20"/>
          <w:color w:val="auto"/>
        </w:rPr>
      </w:pPr>
    </w:p>
    <w:p>
      <w:pPr>
        <w:ind w:right="160" w:firstLine="450"/>
        <w:spacing w:after="0" w:line="269" w:lineRule="auto"/>
        <w:rPr>
          <w:sz w:val="20"/>
          <w:szCs w:val="20"/>
          <w:color w:val="auto"/>
        </w:rPr>
      </w:pPr>
      <w:r>
        <w:rPr>
          <w:rFonts w:ascii="Times New Roman" w:cs="Times New Roman" w:eastAsia="Times New Roman" w:hAnsi="Times New Roman"/>
          <w:sz w:val="17"/>
          <w:szCs w:val="17"/>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76" w:right="339" w:bottom="1440" w:gutter="0" w:footer="0" w:header="0"/>
        </w:sectPr>
      </w:pPr>
    </w:p>
    <w:bookmarkStart w:id="54" w:name="page55"/>
    <w:bookmarkEnd w:id="54"/>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88" w:lineRule="exact"/>
        <w:rPr>
          <w:sz w:val="20"/>
          <w:szCs w:val="20"/>
          <w:color w:val="auto"/>
        </w:rPr>
      </w:pPr>
    </w:p>
    <w:p>
      <w:pPr>
        <w:ind w:left="520" w:hanging="22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against competitors with similar products;</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do issue, we cannot be sure that we will be able to adequately defend such patents and whether or not we will be able to adequately enforce such patents; or</w:t>
      </w:r>
    </w:p>
    <w:p>
      <w:pPr>
        <w:ind w:left="520" w:hanging="22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 applications.</w:t>
      </w:r>
    </w:p>
    <w:p>
      <w:pPr>
        <w:spacing w:after="0" w:line="207"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If the USPTO or other foreign patent office upholds patents issued to others or if the USPTO grants patent applications filed by others, we may have to:</w:t>
      </w:r>
    </w:p>
    <w:p>
      <w:pPr>
        <w:spacing w:after="0" w:line="162" w:lineRule="exact"/>
        <w:rPr>
          <w:sz w:val="20"/>
          <w:szCs w:val="20"/>
          <w:color w:val="auto"/>
        </w:rPr>
      </w:pPr>
    </w:p>
    <w:p>
      <w:pPr>
        <w:ind w:left="520" w:hanging="22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or redesign our products or processes to avoid infringement;</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those patents; or</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20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0"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Risks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59"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8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80" w:right="359" w:bottom="1440" w:gutter="0" w:footer="0" w:header="0"/>
        </w:sectPr>
      </w:pPr>
    </w:p>
    <w:bookmarkStart w:id="55" w:name="page56"/>
    <w:bookmarkEnd w:id="55"/>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from other sources, if available;</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our product liability insurance rates or the inability to maintain insurance coverage in the future on acceptable terms, or at all;</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or patients;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resulting in lower sales;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that could require costly recalls or product modifications;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managing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Contractual Arrangements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59"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this could have an adverse impact on the programs associated with such funding and could also adversely impact our cash flows and operations.</w:t>
      </w:r>
    </w:p>
    <w:p>
      <w:pPr>
        <w:spacing w:after="0" w:line="187"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76" w:lineRule="exact"/>
        <w:rPr>
          <w:sz w:val="20"/>
          <w:szCs w:val="20"/>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reduce the scope of our contract with or without cause;</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relevant regulations (federal acquisition regulation clauses);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under circumstances which may not be favorable to us;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 in-process review where the U.S. Government will review the project and its options under the contract;</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timing and amount of funding, which impacts the development progress of our programs;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object to our contract-related costs and fees, including allocated indirect costs.</w:t>
      </w:r>
    </w:p>
    <w:p>
      <w:pPr>
        <w:spacing w:after="0" w:line="207"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this could have an adverse impact on our cash flows and operations.</w:t>
      </w:r>
    </w:p>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00" w:top="580"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related to the potential government use or sale of our antivirals.</w:t>
      </w:r>
    </w:p>
    <w:p>
      <w:pPr>
        <w:spacing w:after="0" w:line="229"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8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59"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Royalties and milestone payments, if any,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spacing w:after="0" w:line="175"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92"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76" w:right="339" w:bottom="1440" w:gutter="0" w:footer="0" w:header="0"/>
        </w:sectPr>
      </w:pPr>
    </w:p>
    <w:bookmarkStart w:id="57" w:name="page58"/>
    <w:bookmarkEnd w:id="57"/>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6— Royalty Monetizations—RAPIACTA—Non-Recourse Notes Payable−Debt Extinguishment” in the Notes to Consolidated Financial Statements in Part I, Item 1 of this report for additional information about the write-off.</w:t>
      </w:r>
    </w:p>
    <w:p>
      <w:pPr>
        <w:spacing w:after="0" w:line="17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7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 In addition, 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wrote off the balance due under the PhaRMA Notes to other income as a debt extinguishment as of December 31, 2021. See “Note 6— Royalty Monetizations—RAPIACTA—Non-Recourse Notes Payable−Debt Extinguishment” in the Notes to Consolidated Financial Statements in Part I, Item 1 of this report for additional information about the write-off.</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could adversely affect our business. Additionally, our Credit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80"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As of March 31, 2022, we had an outstanding principal balance under our Credit Agreement of $146.4 million, inclusive of the quarterly PIK Interest Payments. We have also committed to draw another $75.0 million in aggregate principal amount under the Term B Loan and the Term C Loan under the Credit Agreement. If we do not draw these Term Loans by the end of the applicable period available to draw them, we will be required to pay to Athyrium, for the account of the lenders, a make-whole premium plus certain fees set forth in the Credit Agreement, subject to certain exceptions set forth in the Credit Agreement. We will also be required to pay to Athyrium, for the account of the lenders, a make-whole premium plus certain fees set forth in the Credit Agreement in the event that we either (x) terminate the commitments in respect of the Term B Loan or the Term C Loan on or prior to the end of the applicable period available to draw such Term Loans, or (y) prepay or repay, or are required to prepay or repay, voluntarily or pursuant to a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stockholders. For example, it:</w:t>
      </w:r>
    </w:p>
    <w:p>
      <w:pPr>
        <w:spacing w:after="0" w:line="225" w:lineRule="exact"/>
        <w:rPr>
          <w:sz w:val="20"/>
          <w:szCs w:val="20"/>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adverse general economic or industry conditions;</w:t>
      </w:r>
    </w:p>
    <w:p>
      <w:pPr>
        <w:spacing w:after="0" w:line="27"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flexibility in planning for, or reacting to, changes in our business or the industry in which we operate;</w:t>
      </w:r>
    </w:p>
    <w:p>
      <w:pPr>
        <w:spacing w:after="0" w:line="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us more vulnerable to increases in interest rates, as borrowings under our Credit Agreement are at variable rates;</w:t>
      </w:r>
    </w:p>
    <w:p>
      <w:pPr>
        <w:spacing w:after="0" w:line="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interest payments, limiting the availability of cash for other purposes;</w:t>
      </w:r>
    </w:p>
    <w:p>
      <w:pPr>
        <w:spacing w:after="0" w:line="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or refinancing in the future for working capital or other purposes; and</w:t>
      </w:r>
    </w:p>
    <w:p>
      <w:pPr>
        <w:spacing w:after="0" w:line="9"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us at a competitive disadvantage compared to our competitors that have less indebtedness.</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80" w:right="359" w:bottom="1440" w:gutter="0" w:footer="0" w:header="0"/>
        </w:sectPr>
      </w:pPr>
    </w:p>
    <w:bookmarkStart w:id="58" w:name="page59"/>
    <w:bookmarkEnd w:id="58"/>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8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certain financial covenants, including a minimum liquidity covenant that requires us to maintain at all times, as applicable, at least $15.0 million of unrestricted cash and cash equivalents if only the Term A Loan has been drawn; at least $20.0 million of unrestricted cash and cash equivalents if the Term B Loan has been drawn but the Term C Loan has not been drawn; and at least $15.0 million (or, in certain circumstances, $20.0 million) of unrestricted cash and cash equivalents if the Term C Loan has been drawn, subject to certain exceptions. In addition, when we draw upon the Term C Loan, we will be required to achieve certain minimum targets for consolidated net revenues from ORLADEYO sales in the United States.</w:t>
      </w:r>
    </w:p>
    <w:p>
      <w:pPr>
        <w:spacing w:after="0" w:line="187"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62"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Agreements.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International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spacing w:after="0" w:line="176" w:lineRule="exact"/>
        <w:rPr>
          <w:sz w:val="20"/>
          <w:szCs w:val="20"/>
          <w:color w:val="auto"/>
        </w:rPr>
      </w:pPr>
    </w:p>
    <w:p>
      <w:pPr>
        <w:ind w:left="520" w:hanging="225"/>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health authority requirements and/or changes in health authority expectations;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obtain and maintain regulatory approvals for the use of our products in various countries;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and maintaining protection for, and enforcing, our intellectual property;</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9" w:lineRule="exact"/>
        <w:rPr>
          <w:rFonts w:ascii="Times New Roman" w:cs="Times New Roman" w:eastAsia="Times New Roman" w:hAnsi="Times New Roman"/>
          <w:sz w:val="18"/>
          <w:szCs w:val="18"/>
          <w:color w:val="auto"/>
        </w:rPr>
      </w:pPr>
    </w:p>
    <w:p>
      <w:pPr>
        <w:ind w:left="520" w:hanging="225"/>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jc w:val="both"/>
        <w:ind w:left="520" w:hanging="225"/>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political and economic instability, including wars (e.g., the conflict in Ukraine),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spacing w:after="0" w:line="1"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9" w:lineRule="exact"/>
        <w:rPr>
          <w:rFonts w:ascii="Times New Roman" w:cs="Times New Roman" w:eastAsia="Times New Roman" w:hAnsi="Times New Roman"/>
          <w:sz w:val="18"/>
          <w:szCs w:val="18"/>
          <w:color w:val="auto"/>
        </w:rPr>
      </w:pPr>
    </w:p>
    <w:p>
      <w:pPr>
        <w:jc w:val="both"/>
        <w:ind w:left="520" w:hanging="225"/>
        <w:spacing w:after="0" w:line="255"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8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59" w:name="page60"/>
    <w:bookmarkEnd w:id="59"/>
    <w:p>
      <w:pPr>
        <w:ind w:left="520" w:hanging="225"/>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62" w:lineRule="exact"/>
        <w:rPr>
          <w:sz w:val="20"/>
          <w:szCs w:val="20"/>
          <w:color w:val="auto"/>
        </w:rPr>
      </w:pPr>
    </w:p>
    <w:p>
      <w:pPr>
        <w:ind w:right="440" w:firstLine="450"/>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of operations and, consequently, our business and results of operations.</w:t>
      </w:r>
    </w:p>
    <w:p>
      <w:pPr>
        <w:spacing w:after="0" w:line="162"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European governmental regulations and other legal obligations related to privacy, data protection and information security could harm our business.</w:t>
      </w:r>
    </w:p>
    <w:p>
      <w:pPr>
        <w:spacing w:after="0" w:line="159"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EU member states, the United Kingdom, Switzerland and other countries have adopted data protection laws and regulations, which impose significant compliance obligations. For example, the GDPR imposes strict requirements on controllers and processors of personal data, including special protections for “special category data,” which includes health, biometric and genetic information of data subjects located in the EEA and, through incorporation in national legislation, the United Kingdom.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and similar national legislation impose strict rules on the transfer of personal data out of the EEA, the United Kingdom, Switzerland, and other countries to the United States or other regions that have not been deemed to offer “adequate” privacy protections.</w:t>
      </w:r>
    </w:p>
    <w:p>
      <w:pPr>
        <w:spacing w:after="0" w:line="194"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spacing w:after="0" w:line="188"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80"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75"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60" w:name="page61"/>
    <w:bookmarkEnd w:id="60"/>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spacing w:after="0" w:line="187"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Technology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or the facilities of our third-party vendors, incur damage or power is lost for a significant length of time, our business will suffer.</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disruption in our information technology systems or a cybersecurity breach could adversely affect our business.</w:t>
      </w:r>
    </w:p>
    <w:p>
      <w:pPr>
        <w:spacing w:after="0" w:line="22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w:t>
      </w:r>
    </w:p>
    <w:p>
      <w:pPr>
        <w:spacing w:after="0" w:line="183" w:lineRule="exact"/>
        <w:rPr>
          <w:sz w:val="20"/>
          <w:szCs w:val="20"/>
          <w:color w:val="auto"/>
        </w:rPr>
      </w:pPr>
    </w:p>
    <w:p>
      <w:pPr>
        <w:ind w:right="140" w:firstLine="450"/>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Investing in Our Common Stock</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5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Several of our stockholders own greater than 5% of our outstanding common stock. Our top ten stockholders own close to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61" w:name="page62"/>
    <w:bookmarkEnd w:id="61"/>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59" w:lineRule="exact"/>
        <w:rPr>
          <w:sz w:val="20"/>
          <w:szCs w:val="20"/>
          <w:color w:val="auto"/>
        </w:rPr>
      </w:pPr>
    </w:p>
    <w:p>
      <w:pPr>
        <w:jc w:val="both"/>
        <w:ind w:right="220" w:firstLine="450"/>
        <w:spacing w:after="0" w:line="281" w:lineRule="auto"/>
        <w:rPr>
          <w:sz w:val="20"/>
          <w:szCs w:val="20"/>
          <w:color w:val="auto"/>
        </w:rPr>
      </w:pPr>
      <w:r>
        <w:rPr>
          <w:rFonts w:ascii="Times New Roman" w:cs="Times New Roman" w:eastAsia="Times New Roman" w:hAnsi="Times New Roman"/>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2022, the 52-week range of the market price of our stock was from $9.23 to $19.99 per share. The following factors, in addition to other risk factors described in this section, may have, and in some cases have had, a significant impact on the market price of our common stock:</w:t>
      </w:r>
    </w:p>
    <w:p>
      <w:pPr>
        <w:spacing w:after="0" w:line="164" w:lineRule="exact"/>
        <w:rPr>
          <w:sz w:val="20"/>
          <w:szCs w:val="20"/>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7"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dilution through sales of our common stock or other derivative securities;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new or existing licensing or collaborative agreements and government contracts;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status of our programs;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announcements regarding new and virulent strains of influenza;</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achieving or failing to achieve development milestones;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medical results relating to products under development by us or our competitors;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certain public health concerns for which we are or may be developing treatments;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foreign countries;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pharmaceutical products;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developments in price control legislation;</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 members of our board of directors;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substantial amounts of our stock by existing stockholders, including officers or directors;</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and</w:t>
      </w:r>
    </w:p>
    <w:p>
      <w:pPr>
        <w:spacing w:after="0" w:line="9" w:lineRule="exact"/>
        <w:rPr>
          <w:rFonts w:ascii="Times New Roman" w:cs="Times New Roman" w:eastAsia="Times New Roman" w:hAnsi="Times New Roman"/>
          <w:sz w:val="18"/>
          <w:szCs w:val="18"/>
          <w:color w:val="auto"/>
        </w:rPr>
      </w:pPr>
    </w:p>
    <w:p>
      <w:pPr>
        <w:ind w:left="520" w:hanging="22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securities may dilute the ownership interests of our current stockholders and cause our stock price to decline.</w:t>
      </w:r>
    </w:p>
    <w:p>
      <w:pPr>
        <w:spacing w:after="0" w:line="22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by us or our current stockholders into the public market could cause the market price of our stock to fall. As of April 29, 2022, there were 185,583,896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180"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As of April 29, 2022, there were 29,674,457 stock options and restricted stock units outstanding and 3,499,375 shares available for issuance under our Amended and Restated Stock Incentive Plan, 5,203,426 stock options and restricted stock units outstanding and 49,782 shares available for issuance under our Amended and Restated Inducement Equity Incentive Plan, and 5,937,390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87"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00" w:top="576" w:right="359" w:bottom="1440" w:gutter="0" w:footer="0" w:header="0"/>
        </w:sectPr>
      </w:pPr>
    </w:p>
    <w:bookmarkStart w:id="62" w:name="page63"/>
    <w:bookmarkEnd w:id="62"/>
    <w:p>
      <w:pPr>
        <w:ind w:right="60" w:firstLine="450"/>
        <w:spacing w:after="0" w:line="253" w:lineRule="auto"/>
        <w:rPr>
          <w:sz w:val="20"/>
          <w:szCs w:val="20"/>
          <w:color w:val="auto"/>
        </w:rPr>
      </w:pPr>
      <w:r>
        <w:rPr>
          <w:rFonts w:ascii="Times New Roman" w:cs="Times New Roman" w:eastAsia="Times New Roman" w:hAnsi="Times New Roman"/>
          <w:sz w:val="18"/>
          <w:szCs w:val="18"/>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1993,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to certain of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corporate charter documents that may result in outcomes with which you do not agree.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do not anticipate doing so in the foreseeable future.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never paid cash dividends on our stock. We currently intend to retain all future earnings, if any, for use in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do not anticipate paying cash dividends on our common stock in the foreseeable future.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 for such disputes with us or our directors, officers or employees.</w:t>
      </w:r>
    </w:p>
    <w:p>
      <w:pPr>
        <w:spacing w:after="0" w:line="175"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92"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or pandemic disease outbreaks, trade wars, political unrest or other events could disrupt our business or operations or those of our development partners, manufacturers, regulators or other third parties with whom we conduct business now or in the future.</w:t>
      </w:r>
    </w:p>
    <w:p>
      <w:pPr>
        <w:spacing w:after="0" w:line="15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63" w:name="page64"/>
    <w:bookmarkEnd w:id="63"/>
    <w:p>
      <w:pPr>
        <w:ind w:right="20" w:firstLine="540"/>
        <w:spacing w:after="0" w:line="272" w:lineRule="auto"/>
        <w:rPr>
          <w:sz w:val="20"/>
          <w:szCs w:val="20"/>
          <w:color w:val="auto"/>
        </w:rPr>
      </w:pPr>
      <w:r>
        <w:rPr>
          <w:rFonts w:ascii="Times New Roman" w:cs="Times New Roman" w:eastAsia="Times New Roman" w:hAnsi="Times New Roman"/>
          <w:sz w:val="17"/>
          <w:szCs w:val="17"/>
          <w:color w:val="auto"/>
        </w:rPr>
        <w:t>A wide variety of events beyond our control, including natural disasters, epidemic or pandemic disease outbreaks (such as the ongoing COVID-19 pandemic), trade wars,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have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19 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clinical research organizations (“CROs”), and others, as well as on the regulatory and government agencies with whom we work.” In addition, other events, such as the armed conflict between Russia and Ukraine, could adversely impact our business. Furthermore,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which could harm our reputation or result in other losses or unexpected expenditure of time and resources.</w:t>
      </w:r>
    </w:p>
    <w:p>
      <w:pPr>
        <w:spacing w:after="0" w:line="229" w:lineRule="exact"/>
        <w:rPr>
          <w:sz w:val="20"/>
          <w:szCs w:val="20"/>
          <w:color w:val="auto"/>
        </w:rPr>
      </w:pPr>
    </w:p>
    <w:p>
      <w:pPr>
        <w:ind w:firstLine="450"/>
        <w:spacing w:after="0" w:line="273" w:lineRule="auto"/>
        <w:rPr>
          <w:sz w:val="20"/>
          <w:szCs w:val="20"/>
          <w:color w:val="auto"/>
        </w:rPr>
      </w:pPr>
      <w:r>
        <w:rPr>
          <w:rFonts w:ascii="Times New Roman" w:cs="Times New Roman" w:eastAsia="Times New Roman" w:hAnsi="Times New Roman"/>
          <w:sz w:val="17"/>
          <w:szCs w:val="17"/>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is increasingly more costly and difficult to obtain or maintain.</w:t>
      </w:r>
    </w:p>
    <w:p>
      <w:pPr>
        <w:spacing w:after="0" w:line="229"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59"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pacing w:after="0" w:line="18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00" w:type="dxa"/>
            <w:vAlign w:val="bottom"/>
            <w:gridSpan w:val="18"/>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Pr>
          <w:p>
            <w:pPr>
              <w:spacing w:after="0" w:line="194"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0" w:type="dxa"/>
            <w:vAlign w:val="bottom"/>
            <w:gridSpan w:val="17"/>
          </w:tcPr>
          <w:p>
            <w:pPr>
              <w:spacing w:after="0" w:line="194"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Third Restated Certificate of Incorporation of Registrant. Incorporated by reference to Exhibit 3.1 to the Company’s</w:t>
              </w:r>
            </w:hyperlink>
          </w:p>
        </w:tc>
      </w:tr>
      <w:tr>
        <w:trPr>
          <w:trHeight w:val="196"/>
        </w:trPr>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8-K filed December 22, 2006.</w:t>
              </w:r>
            </w:hyperlink>
          </w:p>
        </w:tc>
        <w:tc>
          <w:tcPr>
            <w:tcW w:w="1240" w:type="dxa"/>
            <w:vAlign w:val="bottom"/>
            <w:gridSpan w:val="6"/>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40" w:type="dxa"/>
            <w:vAlign w:val="bottom"/>
            <w:gridSpan w:val="2"/>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Amendment to the Third Restated Certificate of Incorporation of Registrant. Incorporated by reference to Exhibit 3.1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the Company’s Form 8-K filed July 24, 2007.</w:t>
              </w:r>
            </w:hyperlink>
          </w:p>
        </w:tc>
      </w:tr>
      <w:tr>
        <w:trPr>
          <w:trHeight w:val="20"/>
        </w:trPr>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Certificate of Amendment to the Third Restated Certificate of Incorporation of Registrant. Incorporated by reference to</w:t>
              </w:r>
            </w:hyperlink>
          </w:p>
        </w:tc>
        <w:tc>
          <w:tcPr>
            <w:tcW w:w="102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Exhibit 3.1 to the Company’s Form 8-K filed May 7, 2014.</w:t>
              </w:r>
            </w:hyperlink>
          </w:p>
        </w:tc>
        <w:tc>
          <w:tcPr>
            <w:tcW w:w="5340" w:type="dxa"/>
            <w:vAlign w:val="bottom"/>
            <w:gridSpan w:val="11"/>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4</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Elimination of the Series B Junior Participating Preferred Stock. Incorporated by reference to Exhibit 3.1 to</w:t>
              </w:r>
            </w:hyperlink>
          </w:p>
        </w:tc>
        <w:tc>
          <w:tcPr>
            <w:tcW w:w="8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the Company’s Form 8-K filed May 13, 2020.</w:t>
              </w:r>
            </w:hyperlink>
          </w:p>
        </w:tc>
        <w:tc>
          <w:tcPr>
            <w:tcW w:w="6280" w:type="dxa"/>
            <w:vAlign w:val="bottom"/>
            <w:gridSpan w:val="13"/>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7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5</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the Third Restated Certificate of Incorporation. Incorporated by reference to Exhibit 3.2 to</w:t>
              </w:r>
            </w:hyperlink>
          </w:p>
        </w:tc>
        <w:tc>
          <w:tcPr>
            <w:tcW w:w="90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the Company’s Form 8-K filed May 13, 2020.</w:t>
              </w:r>
            </w:hyperlink>
          </w:p>
        </w:tc>
        <w:tc>
          <w:tcPr>
            <w:tcW w:w="6280" w:type="dxa"/>
            <w:vAlign w:val="bottom"/>
            <w:gridSpan w:val="13"/>
          </w:tcPr>
          <w:p>
            <w:pPr>
              <w:spacing w:after="0"/>
              <w:rPr>
                <w:sz w:val="17"/>
                <w:szCs w:val="17"/>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7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6</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and Restated Bylaws of Registrant effective October 29, 2008. Incorporated by reference to Exhibit 3.2 to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Company’s Form 8-K filed November 4, 2008.</w:t>
              </w:r>
            </w:hyperlink>
          </w:p>
        </w:tc>
        <w:tc>
          <w:tcPr>
            <w:tcW w:w="5220" w:type="dxa"/>
            <w:vAlign w:val="bottom"/>
            <w:tcBorders>
              <w:top w:val="single" w:sz="8" w:color="0000EE"/>
            </w:tcBorders>
            <w:gridSpan w:val="8"/>
          </w:tcPr>
          <w:p>
            <w:pPr>
              <w:spacing w:after="0"/>
              <w:rPr>
                <w:sz w:val="17"/>
                <w:szCs w:val="17"/>
                <w:color w:val="auto"/>
              </w:rPr>
            </w:pPr>
          </w:p>
        </w:tc>
        <w:tc>
          <w:tcPr>
            <w:tcW w:w="980" w:type="dxa"/>
            <w:vAlign w:val="bottom"/>
            <w:gridSpan w:val="4"/>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8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7</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Amendment to Amended and Restated By-Laws of BioCryst Pharmaceuticals, Inc., dated January 21, 2018. Incorporated</w:t>
              </w:r>
            </w:hyperlink>
          </w:p>
        </w:tc>
        <w:tc>
          <w:tcPr>
            <w:tcW w:w="86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by reference to Exhibit 3.1 to the Company’s Form 8-K filed January 22, 2018.</w:t>
              </w:r>
            </w:hyperlink>
          </w:p>
        </w:tc>
        <w:tc>
          <w:tcPr>
            <w:tcW w:w="3900" w:type="dxa"/>
            <w:vAlign w:val="bottom"/>
            <w:gridSpan w:val="10"/>
          </w:tcPr>
          <w:p>
            <w:pPr>
              <w:spacing w:after="0"/>
              <w:rPr>
                <w:sz w:val="17"/>
                <w:szCs w:val="17"/>
                <w:color w:val="auto"/>
              </w:rPr>
            </w:pPr>
          </w:p>
        </w:tc>
      </w:tr>
      <w:tr>
        <w:trPr>
          <w:trHeight w:val="412"/>
        </w:trPr>
        <w:tc>
          <w:tcPr>
            <w:tcW w:w="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Amendment #4 to the Agreement between BioCryst Pharmaceuticals, Inc. and the National Institute of Allergy and</w:t>
            </w:r>
          </w:p>
        </w:tc>
        <w:tc>
          <w:tcPr>
            <w:tcW w:w="130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Infectious Diseases, dated March 30, 2022.</w:t>
            </w:r>
          </w:p>
        </w:tc>
      </w:tr>
      <w:tr>
        <w:trPr>
          <w:trHeight w:val="20"/>
        </w:trPr>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12"/>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BioCryst Pharmaceuticals, Inc. Non-Employee Director Compensation Policy, effective April 18, 2022.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40" w:type="dxa"/>
            <w:vAlign w:val="bottom"/>
            <w:gridSpan w:val="8"/>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12"/>
        </w:trPr>
        <w:tc>
          <w:tcPr>
            <w:tcW w:w="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(31.</w:t>
            </w:r>
            <w:r>
              <w:rPr>
                <w:rFonts w:ascii="Times New Roman" w:cs="Times New Roman" w:eastAsia="Times New Roman" w:hAnsi="Times New Roman"/>
                <w:sz w:val="18"/>
                <w:szCs w:val="18"/>
                <w:u w:val="single" w:color="auto"/>
                <w:color w:val="0000EE"/>
                <w:w w:val="96"/>
              </w:rPr>
              <w:t>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302 of the Sarbanes-Oxley Act of 2002.</w:t>
            </w:r>
          </w:p>
        </w:tc>
        <w:tc>
          <w:tcPr>
            <w:tcW w:w="2100" w:type="dxa"/>
            <w:vAlign w:val="bottom"/>
            <w:gridSpan w:val="8"/>
          </w:tcPr>
          <w:p>
            <w:pPr>
              <w:spacing w:after="0"/>
              <w:rPr>
                <w:sz w:val="24"/>
                <w:szCs w:val="24"/>
                <w:color w:val="auto"/>
              </w:rPr>
            </w:pPr>
          </w:p>
        </w:tc>
      </w:tr>
      <w:tr>
        <w:trPr>
          <w:trHeight w:val="412"/>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(31.</w:t>
            </w:r>
            <w:r>
              <w:rPr>
                <w:rFonts w:ascii="Times New Roman" w:cs="Times New Roman" w:eastAsia="Times New Roman" w:hAnsi="Times New Roman"/>
                <w:sz w:val="18"/>
                <w:szCs w:val="18"/>
                <w:u w:val="single" w:color="auto"/>
                <w:color w:val="0000EE"/>
                <w:w w:val="96"/>
              </w:rPr>
              <w:t>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 Sarbanes-Oxley Act of 2002.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40" w:type="dxa"/>
            <w:vAlign w:val="bottom"/>
            <w:gridSpan w:val="8"/>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12"/>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(32.</w:t>
            </w:r>
            <w:r>
              <w:rPr>
                <w:rFonts w:ascii="Times New Roman" w:cs="Times New Roman" w:eastAsia="Times New Roman" w:hAnsi="Times New Roman"/>
                <w:sz w:val="18"/>
                <w:szCs w:val="18"/>
                <w:u w:val="single" w:color="auto"/>
                <w:color w:val="0000EE"/>
                <w:w w:val="96"/>
              </w:rPr>
              <w:t>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700" w:type="dxa"/>
            <w:vAlign w:val="bottom"/>
            <w:tcBorders>
              <w:right w:val="single" w:sz="8" w:color="0000EE"/>
            </w:tcBorders>
            <w:gridSpan w:val="1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412"/>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(32.</w:t>
            </w:r>
            <w:r>
              <w:rPr>
                <w:rFonts w:ascii="Times New Roman" w:cs="Times New Roman" w:eastAsia="Times New Roman" w:hAnsi="Times New Roman"/>
                <w:sz w:val="18"/>
                <w:szCs w:val="18"/>
                <w:u w:val="single" w:color="auto"/>
                <w:color w:val="0000EE"/>
                <w:w w:val="96"/>
              </w:rPr>
              <w:t>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right="920" w:hanging="1112"/>
        <w:spacing w:after="0" w:line="261" w:lineRule="auto"/>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BioCryst Pharmaceuticals, Inc. for the three months ended March 31, 2022, formatted in Inline XBRL: (i) Consolidated Balance Sheets, (ii) Consolidated Statements of Comprehensive Loss, (iii) Consolidated Statements of Cash Flows, and (iv) Notes to Consolidated Financial Statements, tagged as blocks of text and including detailed tags.</w:t>
      </w:r>
    </w:p>
    <w:p>
      <w:pPr>
        <w:spacing w:after="0" w:line="180" w:lineRule="exact"/>
        <w:rPr>
          <w:sz w:val="20"/>
          <w:szCs w:val="20"/>
          <w:color w:val="auto"/>
        </w:rPr>
      </w:pPr>
    </w:p>
    <w:p>
      <w:pPr>
        <w:ind w:left="1120" w:right="860" w:hanging="1112"/>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from this Quarterly Report on Form 10-Q for the quarter ended March 31, 2022 is formatted in Inline XBRL (contained in Exhibit 101).</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Filed or furnished herewith.</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360" w:right="859" w:bottom="1440" w:gutter="0" w:footer="0" w:header="0"/>
        </w:sectPr>
      </w:pPr>
    </w:p>
    <w:bookmarkStart w:id="65" w:name="page66"/>
    <w:bookmarkEnd w:id="65"/>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9th day of May, 2022.</w:t>
      </w:r>
    </w:p>
    <w:p>
      <w:pPr>
        <w:spacing w:after="0" w:line="1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u w:val="single" w:color="auto"/>
          <w:color w:val="auto"/>
        </w:rPr>
        <w:t>/s/ Jon P. Stonehouse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Jon P. Stonehouse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u w:val="single" w:color="auto"/>
          <w:color w:val="auto"/>
        </w:rPr>
        <w:t>/s/ Anthony Doyle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Anthony Doyle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u w:val="single" w:color="auto"/>
          <w:color w:val="auto"/>
        </w:rPr>
        <w:t>/s/ Michael L. Jones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Michael L. Jones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Executive Director, Finance and Principal Accounting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340"/>
          </w:cols>
          <w:pgMar w:left="600" w:top="360" w:right="959" w:bottom="1440" w:gutter="0" w:footer="0" w:header="0"/>
        </w:sectPr>
      </w:pPr>
    </w:p>
    <w:bookmarkStart w:id="66" w:name="page67"/>
    <w:bookmarkEnd w:id="66"/>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8196580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380365</wp:posOffset>
            </wp:positionV>
            <wp:extent cx="6035040" cy="7809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09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April 18,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BioCryst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not also serving as an employee of the Company or any of its subsidiaries (each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will, automatically and without further action by the Board or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receive the compensation described in this Non-Employee Director Compensation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at the recommendation of the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Retainer</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Each Director will automatically, and without further action by the Board or Compensation Committee, receive cash compensation solely in the form of annual retainers, as set forth in the table below. The annual retainer amounts are payable in four equal installment payments paid in arrears on a quarterly basis. The annual retainer amount will be pro-rated for a Director who joins the Board or a committee other than at the beginning of the applicable quarter.</w:t>
      </w:r>
    </w:p>
    <w:p>
      <w:pPr>
        <w:spacing w:after="0" w:line="392" w:lineRule="exact"/>
        <w:rPr>
          <w:sz w:val="20"/>
          <w:szCs w:val="20"/>
          <w:color w:val="auto"/>
        </w:rPr>
      </w:pPr>
    </w:p>
    <w:tbl>
      <w:tblPr>
        <w:tblLayout w:type="fixed"/>
        <w:tblInd w:w="2100" w:type="dxa"/>
        <w:tblCellMar>
          <w:top w:w="0" w:type="dxa"/>
          <w:left w:w="0" w:type="dxa"/>
          <w:bottom w:w="0" w:type="dxa"/>
          <w:right w:w="0" w:type="dxa"/>
        </w:tblCellMar>
      </w:tblPr>
      <w:tr>
        <w:trPr>
          <w:trHeight w:val="22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Retainers</w:t>
            </w:r>
          </w:p>
        </w:tc>
        <w:tc>
          <w:tcPr>
            <w:tcW w:w="1460" w:type="dxa"/>
            <w:vAlign w:val="bottom"/>
          </w:tcPr>
          <w:p>
            <w:pPr>
              <w:spacing w:after="0"/>
              <w:rPr>
                <w:sz w:val="19"/>
                <w:szCs w:val="19"/>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Annual Retainer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Retainer for Board Chair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4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Additional Retainers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Committee Chairs</w:t>
            </w:r>
          </w:p>
        </w:tc>
        <w:tc>
          <w:tcPr>
            <w:tcW w:w="1460" w:type="dxa"/>
            <w:vAlign w:val="bottom"/>
          </w:tcPr>
          <w:p>
            <w:pPr>
              <w:spacing w:after="0"/>
              <w:rPr>
                <w:sz w:val="24"/>
                <w:szCs w:val="24"/>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Commercialization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and Nominating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Science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4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Additional Retainers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Committee Members (Non-Chair)</w:t>
            </w:r>
          </w:p>
        </w:tc>
        <w:tc>
          <w:tcPr>
            <w:tcW w:w="1460" w:type="dxa"/>
            <w:vAlign w:val="bottom"/>
          </w:tcPr>
          <w:p>
            <w:pPr>
              <w:spacing w:after="0"/>
              <w:rPr>
                <w:sz w:val="24"/>
                <w:szCs w:val="24"/>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Commercialization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and Nominating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Science Committee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Each Director will be given the opportunity to elect to receive, in lieu of cash retainers, a number of shares of the Company’s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equivalent in value to the retainer earned by such Director (excluding any committee retainers). Each Director may elect to receive either 50% or 100% of his or her cash retainer(s) (excluding any committee retainers) in the form of Common Stock. These shares will be distributed four times a year, in line with the quarterly cash retainer payments. The number of shares to be distributed will be determined using the closing price of Common Stock on the last business day of the applicable three-month period. Elections to receive shares of Common Stock in lieu of cash retainers for a year shall be made as of the date of each annual meeting of the Company’s stockholders, effective until the subsequent annual meeting.</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5"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color w:val="auto"/>
        </w:rPr>
        <w:t>The equity compensation set forth below will be granted under the BioCryst Pharmaceuticals,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Capitalized terms not defined herein have the meaning specified in the Plan. All stock options granted under this Policy will be non-statutory stock options, with an exercise price per share equal to 100% of the fair market value per share of the Common Stock on the Grant Date, and a term of 10 years from the date of grant (subject to earlier termination in connection with a termination of service as provided in the award agreement).</w:t>
      </w:r>
    </w:p>
    <w:p>
      <w:pPr>
        <w:spacing w:after="0" w:line="180" w:lineRule="exact"/>
        <w:rPr>
          <w:sz w:val="20"/>
          <w:szCs w:val="20"/>
          <w:color w:val="auto"/>
        </w:rPr>
      </w:pPr>
    </w:p>
    <w:p>
      <w:pPr>
        <w:ind w:left="1160" w:right="20" w:hanging="327"/>
        <w:spacing w:after="0" w:line="254"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Each individual who first becomes a Director on or after the effective date of this Policy shall be granted on the date of initial election or appointment awards with an aggregate dollar value (based on the aggregate accounting value on the date of grant) of up to the product of (i) $500,000 and (ii) a fraction, the numerator of which is the number of months (rounded to the nearest whole number) remaining between the date such Board member first became a non-employee Board member and the Company’s next scheduled Annual Stockholders Meeting (or the one year anniversary of the most recent Annual Stockholders Meeting if the next Annual Stockholders Meeting has not yet been scheduled), and the denominator of which is 12. Such award shall be made 70% in the form of non-statutory options and 30% in restricted stock units (“RSUs”). Subject to the proviso in Section VI of Article One of the Plan, (i) such option grant shall vest and become exercisable for the option shares in 36 equal monthly installments over a 3-year period measured from the grant date, and (ii) such RSUs shall vest in three equal annual installments beginning on the twelve (12)-month anniversary of the grant date.</w:t>
      </w:r>
    </w:p>
    <w:p>
      <w:pPr>
        <w:spacing w:after="0" w:line="188" w:lineRule="exact"/>
        <w:rPr>
          <w:rFonts w:ascii="Times New Roman" w:cs="Times New Roman" w:eastAsia="Times New Roman" w:hAnsi="Times New Roman"/>
          <w:sz w:val="18"/>
          <w:szCs w:val="18"/>
          <w:color w:val="auto"/>
        </w:rPr>
      </w:pPr>
    </w:p>
    <w:p>
      <w:pPr>
        <w:ind w:left="1160" w:hanging="327"/>
        <w:spacing w:after="0" w:line="256" w:lineRule="auto"/>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Immediately following each Annual Stockholders Meeting of the Company, each individual who is then serving as a Director (except for those individuals first elected or appointed to serve as non-employee Board members at such meeting or as of such date), shall be granted awards with an aggregate dollar value (based on the aggregate accounting value on the date of grant) of $325,000. Such award shall be made 70% in the form of non-statutory options and 30% in RSUs. Subject to the proviso in Section VI of Article One of the Plan, such option grant shall vest and become exercisable for the option shares, and such grant of RSUs shall vest, on the twelve (12)-month anniversary of the grant date.</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Should the grantee cease to serve as a Board member for any reason while holding one or more vested option grants under this Director Compensation Policy, then such grantee shall have the remainder of the ten (10) year term of each such option in which to exercise each such vested option for any or all of the shares of Common Stock for which the option is exercisable at the time of such cessation of Board service. Each such unvested option shall immediately terminate and cease to be outstanding, at the time of such cessation of Board service, with respect to any shares for which the option is not otherwise at that time exercisable. Upon the expiration of the ten (10)-year option term, the grant shall terminate and cease to be outstanding in its entirety. Upon the death of the grantee, whether before or after cessation of Board service, any option held by grantee at the time of grantee’s death may be exercised, for any or all of the shares of Common Stock for which the option was vested and exercisable at the time of cessation of Board service by the grantee and which have not been theretofore exercised by the grantee, by the personal representative of the grantee’s estate or by the person or persons to whom the option is transferred pursuant to the grantee’s will or in accordance with the laws of descent and distribution. Any such exercise must occur during the remainder of the ten (10) year term of such option.</w:t>
      </w:r>
    </w:p>
    <w:p>
      <w:pPr>
        <w:spacing w:after="0" w:line="1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Upon presentation of documentation of such expenses reasonably satisfactory to the Company, each Director is entitled to be reimbursed for reasonable travel and other expenses incurred in connection with attending meetings of the Board and any Committee of the Board on which he or she serves and while representing the Company in conducting certain business.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Approved by the Board of Directors: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480" w:top="576"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P. Stonehouse, certify that:</w:t>
      </w:r>
    </w:p>
    <w:p>
      <w:pPr>
        <w:spacing w:after="0" w:line="225" w:lineRule="exact"/>
        <w:rPr>
          <w:sz w:val="20"/>
          <w:szCs w:val="20"/>
          <w:color w:val="auto"/>
        </w:rPr>
      </w:pPr>
    </w:p>
    <w:p>
      <w:pPr>
        <w:ind w:left="680" w:hanging="213"/>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225" w:lineRule="exact"/>
        <w:rPr>
          <w:rFonts w:ascii="Times New Roman" w:cs="Times New Roman" w:eastAsia="Times New Roman" w:hAnsi="Times New Roman"/>
          <w:sz w:val="18"/>
          <w:szCs w:val="18"/>
          <w:color w:val="auto"/>
        </w:rPr>
      </w:pPr>
    </w:p>
    <w:p>
      <w:pPr>
        <w:jc w:val="both"/>
        <w:ind w:left="680" w:right="80" w:hanging="213"/>
        <w:spacing w:after="0" w:line="26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right="60" w:hanging="213"/>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right="80" w:hanging="213"/>
        <w:spacing w:after="0" w:line="26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right="160" w:hanging="237"/>
        <w:spacing w:after="0" w:line="266"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40" w:hanging="237"/>
        <w:spacing w:after="0" w:line="266"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20" w:right="600" w:hanging="237"/>
        <w:spacing w:after="0" w:line="312" w:lineRule="auto"/>
        <w:tabs>
          <w:tab w:leader="none" w:pos="9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20" w:right="160" w:hanging="237"/>
        <w:spacing w:after="0" w:line="266"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60" w:hanging="213"/>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right="80" w:hanging="237"/>
        <w:spacing w:after="0" w:line="282"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20" w:hanging="237"/>
        <w:spacing w:after="0" w:line="282" w:lineRule="auto"/>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191"/>
        </w:trPr>
        <w:tc>
          <w:tcPr>
            <w:tcW w:w="562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Doyle, certify that:</w:t>
      </w:r>
    </w:p>
    <w:p>
      <w:pPr>
        <w:spacing w:after="0" w:line="225" w:lineRule="exact"/>
        <w:rPr>
          <w:sz w:val="20"/>
          <w:szCs w:val="20"/>
          <w:color w:val="auto"/>
        </w:rPr>
      </w:pPr>
    </w:p>
    <w:p>
      <w:pPr>
        <w:ind w:left="680" w:hanging="213"/>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BioCryst Pharmaceuticals, Inc.;</w:t>
      </w:r>
    </w:p>
    <w:p>
      <w:pPr>
        <w:spacing w:after="0" w:line="225" w:lineRule="exact"/>
        <w:rPr>
          <w:rFonts w:ascii="Times New Roman" w:cs="Times New Roman" w:eastAsia="Times New Roman" w:hAnsi="Times New Roman"/>
          <w:sz w:val="18"/>
          <w:szCs w:val="18"/>
          <w:color w:val="auto"/>
        </w:rPr>
      </w:pPr>
    </w:p>
    <w:p>
      <w:pPr>
        <w:jc w:val="both"/>
        <w:ind w:left="680" w:right="80" w:hanging="213"/>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right="60" w:hanging="213"/>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right="80" w:hanging="213"/>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right="160" w:hanging="237"/>
        <w:spacing w:after="0" w:line="266" w:lineRule="auto"/>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40" w:hanging="237"/>
        <w:spacing w:after="0" w:line="266" w:lineRule="auto"/>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20" w:right="600" w:hanging="237"/>
        <w:spacing w:after="0" w:line="312" w:lineRule="auto"/>
        <w:tabs>
          <w:tab w:leader="none" w:pos="9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20" w:right="160" w:hanging="237"/>
        <w:spacing w:after="0" w:line="266" w:lineRule="auto"/>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60" w:hanging="213"/>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right="80" w:hanging="237"/>
        <w:spacing w:after="0" w:line="282" w:lineRule="auto"/>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20" w:hanging="237"/>
        <w:spacing w:after="0" w:line="282" w:lineRule="auto"/>
        <w:tabs>
          <w:tab w:leader="none" w:pos="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Doyle</w:t>
            </w:r>
          </w:p>
        </w:tc>
      </w:tr>
      <w:tr>
        <w:trPr>
          <w:trHeight w:val="191"/>
        </w:trPr>
        <w:tc>
          <w:tcPr>
            <w:tcW w:w="562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Anthony Doyle</w:t>
            </w:r>
          </w:p>
        </w:tc>
      </w:tr>
      <w:tr>
        <w:trPr>
          <w:trHeight w:val="234"/>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March 31, 2022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1160" w:hanging="315"/>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00" w:hanging="315"/>
        <w:spacing w:after="0" w:line="282" w:lineRule="auto"/>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29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P. Stonehouse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BioCryst Pharmaceuticals, Inc. (the “Company”) on Form 10-Q for the period ended March 31, 2022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20" w:hanging="318"/>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right="660" w:hanging="318"/>
        <w:spacing w:after="0" w:line="282" w:lineRule="auto"/>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726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8726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Doyle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Roman"/>
      <w:start w:val="3"/>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1)"/>
      <w:numFmt w:val="lowerRoman"/>
      <w:start w:val="2"/>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Roman"/>
      <w:start w:val="4"/>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1)"/>
      <w:numFmt w:val="decimal"/>
      <w:start w:val="104"/>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jpe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74" Type="http://schemas.openxmlformats.org/officeDocument/2006/relationships/hyperlink" Target="http://www.sec.gov/Archives/edgar/data/882796/000103570406000836/d42297exv3w1.htm" TargetMode="External"/><Relationship Id="rId75" Type="http://schemas.openxmlformats.org/officeDocument/2006/relationships/hyperlink" Target="http://www.sec.gov/Archives/edgar/data/882796/000136231007001386/c70813exv3w1.htm" TargetMode="External"/><Relationship Id="rId76" Type="http://schemas.openxmlformats.org/officeDocument/2006/relationships/hyperlink" Target="http://www.sec.gov/Archives/edgar/data/882796/000119312514186707/d722313dex31.htm" TargetMode="External"/><Relationship Id="rId77" Type="http://schemas.openxmlformats.org/officeDocument/2006/relationships/hyperlink" Target="http://www.sec.gov/Archives/edgar/data/882796/000117184320003680/exh_31.htm" TargetMode="External"/><Relationship Id="rId78" Type="http://schemas.openxmlformats.org/officeDocument/2006/relationships/hyperlink" Target="http://www.sec.gov/Archives/edgar/data/882796/000117184320003680/exh_32.htm" TargetMode="External"/><Relationship Id="rId79" Type="http://schemas.openxmlformats.org/officeDocument/2006/relationships/hyperlink" Target="http://www.sec.gov/Archives/edgar/data/882796/000136231008006580/c76716exv3w2.htm" TargetMode="External"/><Relationship Id="rId80" Type="http://schemas.openxmlformats.org/officeDocument/2006/relationships/hyperlink" Target="http://www.sec.gov/Archives/edgar/data/882796/000110465918003194/a18-3548_1ex3d1.htm#Exhibit3_1_0841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2022-05-09T06:10:22Z</dcterms:created>
  <dcterms:modified xsi:type="dcterms:W3CDTF">2022-05-09T06:10:22Z</dcterms:modified>
</cp:coreProperties>
</file>